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e3f136ff446a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8623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GLAZBENA ŠKOLA ALBERTA ŠTRIGE, KRIŽEVCI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770.662,14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803.339,51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104,2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846.852,87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800.436,87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94,5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2.902,64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20.048,66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2.205,82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20.026,94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2.205,82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696,82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Glazbena škola djeluje u okviru Programa Osnovnoškolskog obrazovanja. Program obuhvaća predškolsko glazbeno obrazovanje početnički solfeggio I i početnički solfeggio II, osnovno glazbeno obrazovanje u šestogodišnjem trajanju, pripremno glazbeno obrazovanje je za srednje školsko glazbeno obrazovanje u dvogodišnjem trajanju, te srednje školsko glazbeno obrazovanje u četverogodišnjem trajanju. Ukupno ostvareni prihodi u izvještajnom razdoblju iznose 803.339,51 eura, što je 4,2 % više u odnosu na prihode ostvarene u izvještajnom razdoblju prethodne godine, dok su ukupni rashodi izvršeni u iznosu od 800.436,87 eura, što je 5,5 % manje u odnosu na isto izvještajno razdoblje prethodne godine. Navedena povećanja  u odnosu na isto razdoblje prethodne godine odnose se najvećim dijelom na opći rast cijena robe i usluga na tržištu, te na primjenu novih propisa vezanih za povećanje plaća u državnim i javnim službama i materijalnih prava zaposlenika. Višak prihoda i primitaka u ovom izvještajnom razdoblju iznosi 696,82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proračunskim korisnicima iz proračuna koji im nije nadležan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663.501,10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718.758,55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108,3</w:t>
            </w:r>
          </w:p>
        </w:tc>
      </w:tr>
    </w:tbl>
    <w:p>
      <w:pPr>
        <w:spacing w:before="0" w:after="0"/>
      </w:pPr>
    </w:p>
    <w:p>
      <w:r>
        <w:t xml:space="preserve">Povećanje prihoda tekućih pomoći proračunskim korisnicima za 8,3%, odnose se na prihode MZOM za plaće i materijalna prava zaposlenika u odnosu na isto razdoblje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pruženih usluga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5.152,00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7.720,00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149,8</w:t>
            </w:r>
          </w:p>
        </w:tc>
      </w:tr>
    </w:tbl>
    <w:p>
      <w:pPr>
        <w:spacing w:before="0" w:after="0"/>
      </w:pPr>
    </w:p>
    <w:p>
      <w:r>
        <w:t xml:space="preserve">Povećanje prihoda od pruženih usluga odnosi se na usluge najma instrumenata što je veće za 49,8% u odnosu na prethodnu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prijevoz, za rad na terenu i odvojeni život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28.869,17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32.637,85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113,1</w:t>
            </w:r>
          </w:p>
        </w:tc>
      </w:tr>
    </w:tbl>
    <w:p>
      <w:pPr>
        <w:spacing w:before="0" w:after="0"/>
      </w:pPr>
    </w:p>
    <w:p>
      <w:r>
        <w:t xml:space="preserve">Veći su troškovi naknade za prijevoz, rad na terenu i odvojeni život za 13,1% u odnosu na isto razdoblje prethodne godine s obzirom na povećanje naknade sukladno TKU.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Energija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5.291,17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5.962,07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112,7</w:t>
            </w:r>
          </w:p>
        </w:tc>
      </w:tr>
    </w:tbl>
    <w:p>
      <w:pPr>
        <w:spacing w:before="0" w:after="0"/>
      </w:pPr>
    </w:p>
    <w:p>
      <w:r>
        <w:t xml:space="preserve">Troškovi energija izvršeni su u ovom polugodišnjem razdoblju u iznosu od 5.962,07 eura što je za 12,7% više nego u istom razdoblju prethodne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Materijal i dijelovi za tekuće i investicijsko održavanje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189,26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1.594,41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842,4</w:t>
            </w:r>
          </w:p>
        </w:tc>
      </w:tr>
    </w:tbl>
    <w:p>
      <w:pPr>
        <w:spacing w:before="0" w:after="0"/>
      </w:pPr>
    </w:p>
    <w:p>
      <w:r>
        <w:t xml:space="preserve">Rashodi za materijal i dijelove za tekuće i investicijsko održavanje izvršeni su u iznosu od 5.962,07 eura što je 742,4% više nego u istom razdoblju prethodne godine. Povećanje se odnosi na potrošni materijal za glazbene instrumente.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Sitni inventar i autogume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58,64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297,82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507,9</w:t>
            </w:r>
          </w:p>
        </w:tc>
      </w:tr>
    </w:tbl>
    <w:p>
      <w:pPr>
        <w:spacing w:before="0" w:after="0"/>
      </w:pPr>
    </w:p>
    <w:p>
      <w:r>
        <w:t xml:space="preserve">Rashodi za sitni inventar izvršeni su u iznosu od 297,82 eura što je za 407,9% više u odnosu na isto razdoblje prethodne godine. Povećanje se odnosi nabavu alata za domara i opreme za prostoriju za operativne djelatnike.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13.608,79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36.102,61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265,3</w:t>
            </w:r>
          </w:p>
        </w:tc>
      </w:tr>
    </w:tbl>
    <w:p>
      <w:pPr>
        <w:spacing w:before="0" w:after="0"/>
      </w:pPr>
    </w:p>
    <w:p>
      <w:r>
        <w:t xml:space="preserve">Rashodi usluga tekućeg i investicijskog održavanja izvršeni su u iznosu od 36.102,61 eura što je za 165,3 % više u odnosu na isto razdoblje prethodne godine. Povećanje se odnosi na adaptaciju dvorane.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Škola nema dospjelih obveza, sve obveze su nedospjele.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123.457,48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u iznosu od 123.457,48 eura odnose najvećim dijelom na obveze za zaposlene, plaću za lipanj u iznosu od 108.521,39 eura, materijalne rashode u iznosu 7.945,09 eura,  te obveze za povrat u nadležni proračun za plaćene predujmove u iznosu od 6.991,00 eura.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f451f686b0b4760" /></Relationships>
</file>