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5234e9b13410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8623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GLAZBENA ŠKOLA ALBERTA ŠTRIGE, KRIŽEVCI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1.394.602,49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1.486.327,67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1.355.621,66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1.565.149,96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78.822,29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49.209,27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26.929,14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49.165,85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26.900,19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10.185,02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105.722,48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1038,0</w:t>
            </w:r>
          </w:p>
        </w:tc>
      </w:tr>
    </w:tbl>
    <w:p>
      <w:pPr>
        <w:spacing w:before="0" w:after="0"/>
      </w:pPr>
    </w:p>
    <w:p>
      <w:r>
        <w:t xml:space="preserve">Glazbena škola djeluje u okviru Programa Osnovnoškolskog obrazovanja. Program obuhvaća predškolsko glazbeno obrazovanje početnički solfeggio I i početnički solfeggio II, osnovno glazbeno obrazovanje u šestogodišnjem trajanju, pripremno glazbeno obrazovanje je za srednje školsko glazbeno obrazovanje u dvogodišnjem trajanju, te srednje školsko glazbeno obrazovanje u četverogodišnjem trajanju. Ukupno ostvareni prihodi u izvještajnom razdoblju iznose1.486.356,62 eura, što je 6,57 % više u odnosu na prihode ostvarene u izvještajnom razdoblju prethodne godine, dok su ukupni rashodi izvršeni u iznosu od 1.592.079,10 eura, što je 13,32 % više u odnosu na isto izvještajno razdoblje prethodne godine. Navedena povećanja  u odnosu na isto razdoblje prethodne godine odnose se najvećim dijelom na opći rast cijena robe i usluga na tržištu, te na primjenu novih propisa vezanih za povećanje plaća u državnim i javnim službama. Manjak prihoda i primitaka u iznosu od 105.722,48 eura proizlazi najvećim dijelom iz ukidanja prethodno evidentiranih razgraničenja troškova plaća, koja su u prethodnoj godini bila iskazana kao razgraničeni rashodi dok u tekućoj godini terete rezultat.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1.242.630,88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1.330.685,23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107,1</w:t>
            </w:r>
          </w:p>
        </w:tc>
      </w:tr>
    </w:tbl>
    <w:p>
      <w:pPr>
        <w:spacing w:before="0" w:after="0"/>
      </w:pPr>
    </w:p>
    <w:p>
      <w:r>
        <w:t xml:space="preserve">Povećanje prihoda tekućih pomoći proračunskim korisnicima za 7,1% u odnosu na isto razdoblje prethodne godine, odnosi se na povećanje osnovice za obračun plaće u javnim službama, prema Odluci Vlade NN br. 155/24., na snazi od 1.1.2025.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39.629,60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38.338,12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96,7</w:t>
            </w:r>
          </w:p>
        </w:tc>
      </w:tr>
    </w:tbl>
    <w:p>
      <w:pPr>
        <w:spacing w:before="0" w:after="0"/>
      </w:pPr>
    </w:p>
    <w:p>
      <w:r>
        <w:t xml:space="preserve">U izvještajnoj 2025. godini glazbena škola ostvarila je nešto niže prihode od sufinanciranja cijene usluge (participacije) u odnosu na prethodno izvještajno razdoblje, što je rezultat manjeg broja upisanih učenika tijekom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8.344,90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9.868,00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118,3</w:t>
            </w:r>
          </w:p>
        </w:tc>
      </w:tr>
    </w:tbl>
    <w:p>
      <w:pPr>
        <w:spacing w:before="0" w:after="0"/>
      </w:pPr>
    </w:p>
    <w:p>
      <w:r>
        <w:t xml:space="preserve">U 2025. godini glazbena škola ostvarila je porast prihoda od iznajmljivanja glazbenih instrumenata za 18,3% u odnosu na prethodno izvještajno razdoblje, kao rezultat povećanog broja iznajmljenih instrumenata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103.757,11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107.256,32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103,4</w:t>
            </w:r>
          </w:p>
        </w:tc>
      </w:tr>
    </w:tbl>
    <w:p>
      <w:pPr>
        <w:spacing w:before="0" w:after="0"/>
      </w:pPr>
    </w:p>
    <w:p>
      <w:r>
        <w:t xml:space="preserve">Porast prihoda iz nadležnog proračuna za financiranje materijalnih rashoda je za 3,4% u odnosu na prethodno izvještajno razdoblje. Navedeno povećanje prvenstveno je rezultat rasta cijena roba i usluga na tržištu, što je zahtijevalo veća sredstva za podmirenje redovnih materijalnih troškova ustanove.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1.164.166,43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1.369.359,34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117,6</w:t>
            </w:r>
          </w:p>
        </w:tc>
      </w:tr>
    </w:tbl>
    <w:p>
      <w:pPr>
        <w:spacing w:before="0" w:after="0"/>
      </w:pPr>
    </w:p>
    <w:p>
      <w:r>
        <w:t xml:space="preserve">Troškovi za zaposlene izvršeni su više za 205.192,91 euro, što je 17,6% više u odnosu na isto razdoblje prethodne godine. Povećanje proizlazi najvećim dijelom iz ukidanja prethodno evidentiranih razgraničenja troškova, koja su u prethodnoj godini bila iskazana kao razgraničeni rashodi dok su u tekućoj godini troškovi iskazani za jedan mjesec više.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10.923,13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5.677,10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52,0</w:t>
            </w:r>
          </w:p>
        </w:tc>
      </w:tr>
    </w:tbl>
    <w:p>
      <w:pPr>
        <w:spacing w:before="0" w:after="0"/>
      </w:pPr>
    </w:p>
    <w:p>
      <w:r>
        <w:t xml:space="preserve">Zbog provedene nabave veće količine stručne literature i uredskog materijala u prethodnoj godini, u izvještajnoj godini došlo je do smanjenja potrebe za dodatnom nabavom, što se odrazilo na smanjenje pripadajućih troškova od 48 % u odnosu na prethodno izvještajno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2.324,82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52,8</w:t>
            </w:r>
          </w:p>
        </w:tc>
      </w:tr>
    </w:tbl>
    <w:p>
      <w:pPr>
        <w:spacing w:before="0" w:after="0"/>
      </w:pPr>
    </w:p>
    <w:p>
      <w:r>
        <w:t xml:space="preserve">Zbog provedenih nabava materijala za tekuće i investicijsko održavanje glazbene opreme, te sitnog inventara u prethodnom izvještajnom razdoblju, u ovoj godini je zabilježeno smanjenje od 47,2% , što se odrazilo na niže rashode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11,7</w:t>
            </w:r>
          </w:p>
        </w:tc>
      </w:tr>
    </w:tbl>
    <w:p>
      <w:pPr>
        <w:spacing w:before="0" w:after="0"/>
      </w:pPr>
    </w:p>
    <w:p>
      <w:r>
        <w:t xml:space="preserve">U prethodnoj godini izvršena je nabava majica s tiskom za učenike, dok su u izvještajnoj 2025. godini troškovi ograničeni isključivo na radnu odjeću za spremačice, što je rezultiralo smanjenjem ukupnih izdataka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26.650,66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20.469,84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76,8</w:t>
            </w:r>
          </w:p>
        </w:tc>
      </w:tr>
    </w:tbl>
    <w:p>
      <w:pPr>
        <w:spacing w:before="0" w:after="0"/>
      </w:pPr>
    </w:p>
    <w:p>
      <w:r>
        <w:t xml:space="preserve">Troškovi usluga tekućeg i investicijskog održavanja u izvještajnoj godini smanjeni su za 23,2 % u odnosu na isto razdoblje prethodne godine. Navedeno smanjenje najvećim se dijelom odnosi na odkazivanje najma sustava za rješavanje kapilarne vlage PRO system HS 27.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1.094,18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1.966,02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179,7</w:t>
            </w:r>
          </w:p>
        </w:tc>
      </w:tr>
    </w:tbl>
    <w:p>
      <w:pPr>
        <w:spacing w:before="0" w:after="0"/>
      </w:pPr>
    </w:p>
    <w:p>
      <w:r>
        <w:t xml:space="preserve">Povećanje rashoda za 79,7 % u izvještajnoj godini rezultat je rasta cijena komunalnih i vodnih usluga u odnosu na prethodno izvještajno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5.990,68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15.346,12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256,2</w:t>
            </w:r>
          </w:p>
        </w:tc>
      </w:tr>
    </w:tbl>
    <w:p>
      <w:pPr>
        <w:spacing w:before="0" w:after="0"/>
      </w:pPr>
    </w:p>
    <w:p>
      <w:r>
        <w:t xml:space="preserve">Troškovi intelektualnih usluga izvršeni su za 156,2% više u odnosu na isto razdoblje prethodne godine. Povećanje se odnosi najvećim dijelom na provedbu kontrole ulaska i izlaska u školskim ustanovama prema protokolu: izradu sigurnosne procjene zaštite objekta prema zakonu privatne zaštite te povećanu potrebu za profesorima koji su angažirani na temelju Ugovora o djelu.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14.294,94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26.230,72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183,5</w:t>
            </w:r>
          </w:p>
        </w:tc>
      </w:tr>
    </w:tbl>
    <w:p>
      <w:pPr>
        <w:spacing w:before="0" w:after="0"/>
      </w:pPr>
    </w:p>
    <w:p>
      <w:r>
        <w:t xml:space="preserve">Naknade troškova osobama izvan radnog odnosa odnose se na troškove učenika za natjecanja. U izvještajnoj godini navedeni rashodi izvršeni su za 11.935,78 eura ili 83,5% u odnosu na isto razdoblje prethodne godine, a rezultat su većeg broja održanih natjecanja.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249,7</w:t>
            </w:r>
          </w:p>
        </w:tc>
      </w:tr>
    </w:tbl>
    <w:p>
      <w:pPr>
        <w:spacing w:before="0" w:after="0"/>
      </w:pPr>
    </w:p>
    <w:p>
      <w:r>
        <w:t xml:space="preserve">Troškovi reprezentacije u izvještajnoj godini povećani su za 149,7 % u odnosu na isto razdoblje prethodne godine. Navedeno povećanje rezultat je troškova nastalih povodom obilježavanja 80. obljetnice djelovanja glazbene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5.871,51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8.731,20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148,7</w:t>
            </w:r>
          </w:p>
        </w:tc>
      </w:tr>
    </w:tbl>
    <w:p>
      <w:pPr>
        <w:spacing w:before="0" w:after="0"/>
      </w:pPr>
    </w:p>
    <w:p>
      <w:r>
        <w:t xml:space="preserve">Povećanje troškova uredske opreme i namještaja za 48,7 %, u ovom izvještajnom razdoblju, rezultat je opremanja nove zbornice odgovarajućim namještajem.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43.337,76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18.197,94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42,0</w:t>
            </w:r>
          </w:p>
        </w:tc>
      </w:tr>
    </w:tbl>
    <w:p>
      <w:pPr>
        <w:spacing w:before="0" w:after="0"/>
      </w:pPr>
    </w:p>
    <w:p>
      <w:r>
        <w:t xml:space="preserve">U prethodnoj godini izvršena je nabava opreme veće vrijednosti, uključujući klavir Yamaha, pijanina i tambure. U ovoj izvještajnoj godini nabavljena je glazbena oprema manje vrijednosti, što je rezultiralo smanjenjem troškova za 58 %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10.185,02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105.722,48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1038,0</w:t>
            </w:r>
          </w:p>
        </w:tc>
      </w:tr>
    </w:tbl>
    <w:p>
      <w:pPr>
        <w:spacing w:before="0" w:after="0"/>
      </w:pPr>
    </w:p>
    <w:p>
      <w:r>
        <w:t xml:space="preserve">Manjak prihoda u iznosu od 105.722,48 eura posljedica je prikaza 13. troškova plaća u ovoj izvještajnoj godini.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56.069,25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56.069,25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Nefinancijska neproizvedena dugotrajna imovina odnosi se na ulaganja u tuđu imovinu radi stjecanja prava korištenja. Ulaganja obuhvaćaju građevinske radove izvedene na zgradi u vlasništvu Grada Križevaca, u kojoj je smještena škola.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137.203,28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145.499,48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106,0</w:t>
            </w:r>
          </w:p>
        </w:tc>
      </w:tr>
    </w:tbl>
    <w:p>
      <w:pPr>
        <w:spacing w:before="0" w:after="0"/>
      </w:pPr>
    </w:p>
    <w:p>
      <w:r>
        <w:t xml:space="preserve">U izvještajnoj 2025. godini izvršeno je opremanje nove zbornice, uključujući nabavu ormara za učitelje, te je dodatno nabavljena pametna ploča. Navedena ulaganja rezultirala su povećanjem rashoda od 6%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542.618,02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559.277,08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103,1</w:t>
            </w:r>
          </w:p>
        </w:tc>
      </w:tr>
    </w:tbl>
    <w:p>
      <w:pPr>
        <w:spacing w:before="0" w:after="0"/>
      </w:pPr>
    </w:p>
    <w:p>
      <w:r>
        <w:t xml:space="preserve">Povećanje za 3,1% u 2025. godini odnosi se na nabavu  glazbene opreme: pijanino i digitalni pijanino Yamaha, klarinet (2komada), bugarija i trube.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34.399,67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33.933,44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98,6</w:t>
            </w:r>
          </w:p>
        </w:tc>
      </w:tr>
    </w:tbl>
    <w:p>
      <w:pPr>
        <w:spacing w:before="0" w:after="0"/>
      </w:pPr>
    </w:p>
    <w:p>
      <w:r>
        <w:t xml:space="preserve">U svibnju izvještajne godine, nakon predaje oštećene imovine ovlaštenoj tvrtki za zbrinjavanje otpada, izvršeno je isknjiženje sitnog inventara. Iz navedenog razloga u ovoj izvještajnoj godini evidentirana je nešto niža vrijednost sitnog inventara.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11.843,62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126.686,68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1069,7</w:t>
            </w:r>
          </w:p>
        </w:tc>
      </w:tr>
    </w:tbl>
    <w:p>
      <w:pPr>
        <w:spacing w:before="0" w:after="0"/>
      </w:pPr>
    </w:p>
    <w:p>
      <w:r>
        <w:t xml:space="preserve">Značajno povećanje na skupini 16 u odnosu na prethodnu godinu posljedica je novog načina evidentiranja plaća, pri čemu se knjiže potraživanja i obračunati prihodi, sukladno važećim propisima proračunskog računovodstva.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3.857,32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145,2</w:t>
            </w:r>
          </w:p>
        </w:tc>
      </w:tr>
    </w:tbl>
    <w:p>
      <w:pPr>
        <w:spacing w:before="0" w:after="0"/>
      </w:pPr>
    </w:p>
    <w:p>
      <w:r>
        <w:t xml:space="preserve">Potraživanja se odnose na prihode po posebnim propisima od sufinanciranja cijene usluge.  Nešto je veći iznos potraživanja u odnosu na prethodno izvještajno razdoblje zbog manje naplate.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190,5</w:t>
            </w:r>
          </w:p>
        </w:tc>
      </w:tr>
    </w:tbl>
    <w:p>
      <w:pPr>
        <w:spacing w:before="0" w:after="0"/>
      </w:pPr>
    </w:p>
    <w:p>
      <w:r>
        <w:t xml:space="preserve">Potraživanja se odnose na prihode od iznajmljivanja glazbenih instrumenata.  Nešto je veći iznos potraživanja u odnosu na prethodno izvještajno razdoblje zbog manje naplate.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Naplaćeni prihodi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325,0</w:t>
            </w:r>
          </w:p>
        </w:tc>
      </w:tr>
    </w:tbl>
    <w:p>
      <w:pPr>
        <w:spacing w:before="0" w:after="0"/>
      </w:pPr>
    </w:p>
    <w:p>
      <w:r>
        <w:t xml:space="preserve">Povećanje naplaćenh prihoda budućih razdoblja odnose se na pretplate roditelja za račune školarine i najma instrumenata.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15.484,17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104.899,65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677,5</w:t>
            </w:r>
          </w:p>
        </w:tc>
      </w:tr>
    </w:tbl>
    <w:p>
      <w:pPr>
        <w:spacing w:before="0" w:after="0"/>
      </w:pPr>
    </w:p>
    <w:p>
      <w:r>
        <w:t xml:space="preserve">Preneseni rezultat iz prethodnog razdoblja iznosio je 822,83 eura viška, dok je u ovom izvještajnom razdoblju evidentiran manjak u iznosu od 105.722,48 eura. Nakon zatvaranja rezultata po istovrsnim kategorijama te provedbe obvezne korekcije rezultata, konačni rezultat za izvještajno razdoblje iskazuje manjak prihoda poslovanja u iznosu od 104.780,56 eura te manjak prihoda od nefinancijske imovine u iznosu od 119,09 eura.</w:t>
      </w:r>
    </w:p>
    <w:p>
      <w:r>
        <w:t xml:space="preserve">Navedeni manjak nastao je zbog evidentiranja 13 troškova plaća, odnosno primjene novog načina evidentiranja plaća te ukidanja razgraničenja na kontu 193, sukladno važećem Pravilniku o proračunskom računovodstvu.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1.404.830,93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1.592.079,10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</w:tbl>
    <w:p>
      <w:pPr>
        <w:spacing w:before="0" w:after="0"/>
      </w:pPr>
    </w:p>
    <w:p>
      <w:r>
        <w:t xml:space="preserve">Zbog općeg rasta cijena roba i usluga na tržištu, troškovi predškolskog i osnovnoškolskog obrazovanja u izvještajnoj 2025. godini povećani su za 13,3% u odnosu na prethodno razdoblje.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imovine (šifre P001+P008)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50.148,13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Promjene u vrijednosti nefinancijske imovine/smanjenje vrijednosti odnosi se na redovan ispravak vrijednosti potraživanja te dugotrajne nematerijalne i materijalne imovine na kraju izvještajne godine, u skladu s propisima proračunskog računovodstva.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 prosinca 2025. godine škola nema dospjelih, a nepodmirenih obveza. Sve iskazane obveze su nedospjele, te će biti podmirene u zakonskim i ugovorenim rokovima.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114.690,83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Nedospjele obveze u iznosu od 114.690,83 eura odnose najvećim dijelom na obveze za plaće zaposlenih za prosinac 2025. godine u iznosu od 110.006,60 eura. Ostalo su obveze za materijalne rashode koje će biti podmirene početkom siječnja 2026. godine.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3f284c59354934" /></Relationships>
</file>