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B463B" w14:textId="1051FFD2" w:rsidR="00143666" w:rsidRPr="00143666" w:rsidRDefault="002C6660" w:rsidP="00B9131F">
      <w:pPr>
        <w:pStyle w:val="Naslov1"/>
        <w:spacing w:line="360" w:lineRule="auto"/>
      </w:pPr>
      <w:r w:rsidRPr="00CD1EBD">
        <w:t>OBRAZLOŽENJE FINANCIJSKOG PLANA GLAZBENE ŠKOLE</w:t>
      </w:r>
      <w:r w:rsidR="001C53F3">
        <w:t xml:space="preserve"> ALBERTA ŠTRIGE KRIŽEVCI ZA 2026. GODINU I PROJEKCIJE ZA 2027. I 2028</w:t>
      </w:r>
      <w:r w:rsidRPr="00CD1EBD">
        <w:t>. GODINU</w:t>
      </w:r>
    </w:p>
    <w:p w14:paraId="09C93793" w14:textId="77777777" w:rsidR="00B86B3A" w:rsidRPr="00B86B3A" w:rsidRDefault="00B86B3A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</w:p>
    <w:p w14:paraId="274B69D1" w14:textId="7B552C4E" w:rsidR="005C2A4B" w:rsidRPr="00BF1094" w:rsidRDefault="00B9131F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  <w:r>
        <w:rPr>
          <w:rFonts w:eastAsia="Times New Roman" w:cstheme="minorHAnsi"/>
          <w:b w:val="0"/>
          <w:sz w:val="22"/>
        </w:rPr>
        <w:t>Financijski plan</w:t>
      </w:r>
      <w:r w:rsidR="00497972" w:rsidRPr="00497972">
        <w:rPr>
          <w:rFonts w:eastAsia="Times New Roman" w:cstheme="minorHAnsi"/>
          <w:b w:val="0"/>
          <w:sz w:val="22"/>
        </w:rPr>
        <w:t xml:space="preserve"> Glazbene škole za 2026. godinu i projekcije za 2027. i 2028. </w:t>
      </w:r>
      <w:r w:rsidR="00143666">
        <w:rPr>
          <w:rFonts w:eastAsia="Times New Roman" w:cstheme="minorHAnsi"/>
          <w:b w:val="0"/>
          <w:sz w:val="22"/>
        </w:rPr>
        <w:t xml:space="preserve">godinu izrađuje se </w:t>
      </w:r>
      <w:r w:rsidR="00497972">
        <w:rPr>
          <w:rFonts w:eastAsia="Times New Roman" w:cstheme="minorHAnsi"/>
          <w:b w:val="0"/>
          <w:sz w:val="22"/>
        </w:rPr>
        <w:t>s</w:t>
      </w:r>
      <w:r w:rsidR="00F629D7">
        <w:rPr>
          <w:rFonts w:eastAsia="Times New Roman" w:cstheme="minorHAnsi"/>
          <w:b w:val="0"/>
          <w:sz w:val="22"/>
        </w:rPr>
        <w:t>u</w:t>
      </w:r>
      <w:r w:rsidR="00143666">
        <w:rPr>
          <w:rFonts w:eastAsia="Times New Roman" w:cstheme="minorHAnsi"/>
          <w:b w:val="0"/>
          <w:sz w:val="22"/>
        </w:rPr>
        <w:t xml:space="preserve">kladno Zakonu o proračunu (NN 144/21), </w:t>
      </w:r>
      <w:r w:rsidR="00497972">
        <w:rPr>
          <w:rFonts w:eastAsia="Times New Roman" w:cstheme="minorHAnsi"/>
          <w:b w:val="0"/>
          <w:sz w:val="22"/>
        </w:rPr>
        <w:t>Pravilniku o planiranu u sustavu proračuna</w:t>
      </w:r>
      <w:r w:rsidR="00143666">
        <w:rPr>
          <w:rFonts w:eastAsia="Times New Roman" w:cstheme="minorHAnsi"/>
          <w:b w:val="0"/>
          <w:sz w:val="22"/>
        </w:rPr>
        <w:t xml:space="preserve"> (NN br. 1/24), Pravilniku o proračunskom računovodstvu i Računskom planu  (NN br.158/23 i 154/24), Pravilniku o proračunskom klasifikacijama (NN br. 4/24 i 122/25), te</w:t>
      </w:r>
      <w:r w:rsidR="004D7CE9">
        <w:rPr>
          <w:rFonts w:eastAsia="Times New Roman" w:cstheme="minorHAnsi"/>
          <w:b w:val="0"/>
          <w:sz w:val="22"/>
        </w:rPr>
        <w:t xml:space="preserve"> </w:t>
      </w:r>
      <w:r w:rsidR="00497972">
        <w:rPr>
          <w:rFonts w:eastAsia="Times New Roman" w:cstheme="minorHAnsi"/>
          <w:b w:val="0"/>
          <w:sz w:val="22"/>
        </w:rPr>
        <w:t>U</w:t>
      </w:r>
      <w:r w:rsidR="007841E1">
        <w:rPr>
          <w:rFonts w:eastAsia="Times New Roman" w:cstheme="minorHAnsi"/>
          <w:b w:val="0"/>
          <w:sz w:val="22"/>
        </w:rPr>
        <w:t>putama</w:t>
      </w:r>
      <w:r>
        <w:rPr>
          <w:rFonts w:eastAsia="Times New Roman" w:cstheme="minorHAnsi"/>
          <w:b w:val="0"/>
          <w:sz w:val="22"/>
        </w:rPr>
        <w:t xml:space="preserve"> za izradu i dostavu </w:t>
      </w:r>
      <w:r w:rsidR="00497972">
        <w:rPr>
          <w:rFonts w:eastAsia="Times New Roman" w:cstheme="minorHAnsi"/>
          <w:b w:val="0"/>
          <w:sz w:val="22"/>
        </w:rPr>
        <w:t>financijskih planova</w:t>
      </w:r>
      <w:r w:rsidR="004371E2">
        <w:rPr>
          <w:rFonts w:eastAsia="Times New Roman" w:cstheme="minorHAnsi"/>
          <w:b w:val="0"/>
          <w:sz w:val="22"/>
        </w:rPr>
        <w:t xml:space="preserve"> </w:t>
      </w:r>
      <w:r w:rsidR="00143666">
        <w:rPr>
          <w:rFonts w:eastAsia="Times New Roman" w:cstheme="minorHAnsi"/>
          <w:b w:val="0"/>
          <w:sz w:val="22"/>
        </w:rPr>
        <w:t xml:space="preserve">upravnih tijela te proračunskih korisnika </w:t>
      </w:r>
      <w:r w:rsidR="00B86B3A">
        <w:rPr>
          <w:rFonts w:eastAsia="Times New Roman" w:cstheme="minorHAnsi"/>
          <w:b w:val="0"/>
          <w:sz w:val="22"/>
        </w:rPr>
        <w:t xml:space="preserve">Grada Križevaca - </w:t>
      </w:r>
      <w:r w:rsidR="00A74A1F" w:rsidRPr="005C2A4B">
        <w:rPr>
          <w:rFonts w:eastAsia="Times New Roman" w:cstheme="minorHAnsi"/>
          <w:b w:val="0"/>
          <w:sz w:val="22"/>
        </w:rPr>
        <w:t>U</w:t>
      </w:r>
      <w:r w:rsidR="00BD3CCE">
        <w:rPr>
          <w:rFonts w:eastAsia="Times New Roman" w:cstheme="minorHAnsi"/>
          <w:b w:val="0"/>
          <w:sz w:val="22"/>
        </w:rPr>
        <w:t>pravnog odjela za gospodarstvo,</w:t>
      </w:r>
      <w:r w:rsidR="00A74A1F" w:rsidRPr="005C2A4B">
        <w:rPr>
          <w:rFonts w:eastAsia="Times New Roman" w:cstheme="minorHAnsi"/>
          <w:b w:val="0"/>
          <w:sz w:val="22"/>
        </w:rPr>
        <w:t xml:space="preserve"> financije</w:t>
      </w:r>
      <w:r w:rsidR="00BD3CCE">
        <w:rPr>
          <w:rFonts w:eastAsia="Times New Roman" w:cstheme="minorHAnsi"/>
          <w:b w:val="0"/>
          <w:sz w:val="22"/>
        </w:rPr>
        <w:t>, EU fondove i javnu nabavu</w:t>
      </w:r>
      <w:r w:rsidR="00B86B3A">
        <w:rPr>
          <w:rFonts w:eastAsia="Times New Roman" w:cstheme="minorHAnsi"/>
          <w:b w:val="0"/>
          <w:sz w:val="22"/>
        </w:rPr>
        <w:t>. O</w:t>
      </w:r>
      <w:r w:rsidR="00143666" w:rsidRPr="00497972">
        <w:rPr>
          <w:rFonts w:eastAsia="Times New Roman" w:cstheme="minorHAnsi"/>
          <w:b w:val="0"/>
          <w:sz w:val="22"/>
        </w:rPr>
        <w:t>brazloženje</w:t>
      </w:r>
      <w:r>
        <w:rPr>
          <w:rFonts w:eastAsia="Times New Roman" w:cstheme="minorHAnsi"/>
          <w:b w:val="0"/>
          <w:sz w:val="22"/>
        </w:rPr>
        <w:t xml:space="preserve"> </w:t>
      </w:r>
      <w:r w:rsidR="00B86B3A">
        <w:rPr>
          <w:rFonts w:eastAsia="Times New Roman" w:cstheme="minorHAnsi"/>
          <w:b w:val="0"/>
          <w:sz w:val="22"/>
        </w:rPr>
        <w:t xml:space="preserve">financijskog plana daje se kroz obrazloženje </w:t>
      </w:r>
      <w:r w:rsidR="00143666">
        <w:rPr>
          <w:rFonts w:eastAsia="Times New Roman" w:cstheme="minorHAnsi"/>
          <w:b w:val="0"/>
          <w:sz w:val="22"/>
        </w:rPr>
        <w:t>općeg i p</w:t>
      </w:r>
      <w:r w:rsidR="00B86B3A">
        <w:rPr>
          <w:rFonts w:eastAsia="Times New Roman" w:cstheme="minorHAnsi"/>
          <w:b w:val="0"/>
          <w:sz w:val="22"/>
        </w:rPr>
        <w:t>osebnog dijela:</w:t>
      </w:r>
    </w:p>
    <w:p w14:paraId="02327957" w14:textId="2C80A5C1" w:rsidR="009C422E" w:rsidRDefault="009C422E" w:rsidP="00B9131F">
      <w:pPr>
        <w:jc w:val="both"/>
      </w:pPr>
    </w:p>
    <w:p w14:paraId="5E63A5F1" w14:textId="77777777" w:rsidR="001F49DE" w:rsidRPr="009C422E" w:rsidRDefault="001F49DE" w:rsidP="00B9131F"/>
    <w:p w14:paraId="0669772F" w14:textId="6004BD32" w:rsidR="009C422E" w:rsidRDefault="00B73C10" w:rsidP="00B9131F">
      <w:pPr>
        <w:pStyle w:val="Naslov2"/>
        <w:spacing w:line="360" w:lineRule="auto"/>
        <w:jc w:val="center"/>
        <w:rPr>
          <w:b w:val="0"/>
        </w:rPr>
      </w:pPr>
      <w:r w:rsidRPr="004B649B">
        <w:rPr>
          <w:b w:val="0"/>
        </w:rPr>
        <w:t>OBRAZLOŽENJE OPĆEG DIJELA FINANCIJSKOG PLANA</w:t>
      </w:r>
    </w:p>
    <w:p w14:paraId="30DB0919" w14:textId="77777777" w:rsidR="00C662F3" w:rsidRPr="00C662F3" w:rsidRDefault="00C662F3" w:rsidP="00B9131F">
      <w:pPr>
        <w:jc w:val="both"/>
      </w:pPr>
    </w:p>
    <w:p w14:paraId="443F16DF" w14:textId="6927E0B4" w:rsidR="00CD1EBD" w:rsidRPr="009C422E" w:rsidRDefault="00400A4D" w:rsidP="00B9131F">
      <w:pPr>
        <w:pStyle w:val="Naslov3"/>
        <w:spacing w:line="360" w:lineRule="auto"/>
        <w:jc w:val="both"/>
        <w:rPr>
          <w:b w:val="0"/>
          <w:u w:val="none"/>
        </w:rPr>
      </w:pPr>
      <w:r w:rsidRPr="009C422E">
        <w:rPr>
          <w:b w:val="0"/>
          <w:u w:val="none"/>
        </w:rPr>
        <w:t>PRIHODI</w:t>
      </w:r>
      <w:r w:rsidR="00D627F2" w:rsidRPr="009C422E">
        <w:rPr>
          <w:b w:val="0"/>
          <w:u w:val="none"/>
        </w:rPr>
        <w:t xml:space="preserve">  </w:t>
      </w:r>
    </w:p>
    <w:p w14:paraId="61235E66" w14:textId="7312815A" w:rsidR="002653D9" w:rsidRDefault="00CD1EBD" w:rsidP="00B9131F">
      <w:pPr>
        <w:spacing w:after="160" w:line="360" w:lineRule="auto"/>
        <w:jc w:val="both"/>
        <w:rPr>
          <w:b w:val="0"/>
          <w:sz w:val="22"/>
        </w:rPr>
      </w:pPr>
      <w:r w:rsidRPr="00CD1EBD">
        <w:rPr>
          <w:b w:val="0"/>
          <w:sz w:val="22"/>
        </w:rPr>
        <w:t>P</w:t>
      </w:r>
      <w:r w:rsidR="002653D9">
        <w:rPr>
          <w:b w:val="0"/>
          <w:sz w:val="22"/>
        </w:rPr>
        <w:t>rihodi za 2026</w:t>
      </w:r>
      <w:r>
        <w:rPr>
          <w:b w:val="0"/>
          <w:sz w:val="22"/>
        </w:rPr>
        <w:t>. godinu planir</w:t>
      </w:r>
      <w:r w:rsidR="004371E2">
        <w:rPr>
          <w:b w:val="0"/>
          <w:sz w:val="22"/>
        </w:rPr>
        <w:t>a</w:t>
      </w:r>
      <w:r w:rsidR="00071FF5">
        <w:rPr>
          <w:b w:val="0"/>
          <w:sz w:val="22"/>
        </w:rPr>
        <w:t xml:space="preserve">ni su u iznosu </w:t>
      </w:r>
      <w:r w:rsidR="00984BE9">
        <w:rPr>
          <w:b w:val="0"/>
          <w:sz w:val="22"/>
        </w:rPr>
        <w:t>1.529.330</w:t>
      </w:r>
      <w:r w:rsidR="00071FF5">
        <w:rPr>
          <w:b w:val="0"/>
          <w:sz w:val="22"/>
        </w:rPr>
        <w:t xml:space="preserve"> eura, </w:t>
      </w:r>
      <w:r w:rsidR="00932D30">
        <w:rPr>
          <w:b w:val="0"/>
          <w:sz w:val="22"/>
        </w:rPr>
        <w:t xml:space="preserve">dok su </w:t>
      </w:r>
      <w:r w:rsidR="002653D9">
        <w:rPr>
          <w:b w:val="0"/>
          <w:sz w:val="22"/>
        </w:rPr>
        <w:t>planirane projekcije za 2027</w:t>
      </w:r>
      <w:r w:rsidR="00932D30">
        <w:rPr>
          <w:b w:val="0"/>
          <w:sz w:val="22"/>
        </w:rPr>
        <w:t xml:space="preserve">. godinu </w:t>
      </w:r>
      <w:r w:rsidR="009623EC">
        <w:rPr>
          <w:b w:val="0"/>
          <w:sz w:val="22"/>
        </w:rPr>
        <w:t xml:space="preserve">u iznosu </w:t>
      </w:r>
      <w:r w:rsidR="002653D9">
        <w:rPr>
          <w:b w:val="0"/>
          <w:sz w:val="22"/>
        </w:rPr>
        <w:t>1.531.338 eura, za 2028</w:t>
      </w:r>
      <w:r w:rsidR="00932D30">
        <w:rPr>
          <w:b w:val="0"/>
          <w:sz w:val="22"/>
        </w:rPr>
        <w:t xml:space="preserve">. godinu </w:t>
      </w:r>
      <w:r w:rsidR="002653D9">
        <w:rPr>
          <w:b w:val="0"/>
          <w:sz w:val="22"/>
        </w:rPr>
        <w:t>1.541.038</w:t>
      </w:r>
      <w:r w:rsidR="00932D30">
        <w:rPr>
          <w:b w:val="0"/>
          <w:sz w:val="22"/>
        </w:rPr>
        <w:t xml:space="preserve"> eura.</w:t>
      </w:r>
      <w:r w:rsidR="00071FF5">
        <w:rPr>
          <w:b w:val="0"/>
          <w:sz w:val="22"/>
        </w:rPr>
        <w:t xml:space="preserve"> </w:t>
      </w:r>
    </w:p>
    <w:p w14:paraId="725CAA86" w14:textId="43186720" w:rsidR="00432F42" w:rsidRDefault="00DD4605" w:rsidP="00B9131F">
      <w:pPr>
        <w:spacing w:after="160" w:line="360" w:lineRule="auto"/>
        <w:jc w:val="both"/>
        <w:rPr>
          <w:b w:val="0"/>
          <w:sz w:val="22"/>
        </w:rPr>
      </w:pPr>
      <w:r w:rsidRPr="00DD4605">
        <w:rPr>
          <w:noProof/>
          <w:lang w:eastAsia="hr-HR"/>
        </w:rPr>
        <w:drawing>
          <wp:inline distT="0" distB="0" distL="0" distR="0" wp14:anchorId="1C18C0BF" wp14:editId="7A0773D5">
            <wp:extent cx="5781675" cy="27056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153" cy="27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BFFE" w14:textId="697391D3" w:rsidR="00071FF5" w:rsidRDefault="00602CB0" w:rsidP="00B9131F">
      <w:pPr>
        <w:spacing w:after="160"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Najveći</w:t>
      </w:r>
      <w:r w:rsidR="00932D30">
        <w:rPr>
          <w:b w:val="0"/>
          <w:sz w:val="22"/>
        </w:rPr>
        <w:t xml:space="preserve"> dio</w:t>
      </w:r>
      <w:r w:rsidR="002653D9">
        <w:rPr>
          <w:b w:val="0"/>
          <w:sz w:val="22"/>
        </w:rPr>
        <w:t xml:space="preserve"> planiranih</w:t>
      </w:r>
      <w:r w:rsidR="00932D30">
        <w:rPr>
          <w:b w:val="0"/>
          <w:sz w:val="22"/>
        </w:rPr>
        <w:t xml:space="preserve"> prihoda odnosi se </w:t>
      </w:r>
      <w:r w:rsidR="00932D30" w:rsidRPr="007B6963">
        <w:rPr>
          <w:b w:val="0"/>
          <w:sz w:val="22"/>
        </w:rPr>
        <w:t>na prihode poslovanja</w:t>
      </w:r>
      <w:r w:rsidR="00932D30">
        <w:rPr>
          <w:b w:val="0"/>
          <w:sz w:val="22"/>
        </w:rPr>
        <w:t xml:space="preserve"> u iznosu od </w:t>
      </w:r>
      <w:r w:rsidR="002653D9">
        <w:rPr>
          <w:b w:val="0"/>
          <w:sz w:val="22"/>
        </w:rPr>
        <w:t>1.529.</w:t>
      </w:r>
      <w:r w:rsidR="007B6963">
        <w:rPr>
          <w:b w:val="0"/>
          <w:sz w:val="22"/>
        </w:rPr>
        <w:t>930</w:t>
      </w:r>
      <w:r w:rsidR="00932D30">
        <w:rPr>
          <w:b w:val="0"/>
          <w:sz w:val="22"/>
        </w:rPr>
        <w:t xml:space="preserve"> eura.</w:t>
      </w:r>
    </w:p>
    <w:p w14:paraId="293D63F8" w14:textId="2639DF24" w:rsidR="00071FF5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lastRenderedPageBreak/>
        <w:t>63</w:t>
      </w:r>
      <w:r>
        <w:rPr>
          <w:b w:val="0"/>
          <w:sz w:val="22"/>
        </w:rPr>
        <w:t xml:space="preserve"> </w:t>
      </w:r>
      <w:r w:rsidR="00071FF5">
        <w:rPr>
          <w:b w:val="0"/>
          <w:sz w:val="22"/>
        </w:rPr>
        <w:t>Pomoći od subjekata unutar općeg proračuna u</w:t>
      </w:r>
      <w:r w:rsidR="00602CB0">
        <w:rPr>
          <w:b w:val="0"/>
          <w:sz w:val="22"/>
        </w:rPr>
        <w:t xml:space="preserve"> iznosu od </w:t>
      </w:r>
      <w:r w:rsidR="002653D9">
        <w:rPr>
          <w:b w:val="0"/>
          <w:sz w:val="22"/>
        </w:rPr>
        <w:t xml:space="preserve">1.388.450 </w:t>
      </w:r>
      <w:r w:rsidR="00602CB0">
        <w:rPr>
          <w:b w:val="0"/>
          <w:sz w:val="22"/>
        </w:rPr>
        <w:t>eura odnosi</w:t>
      </w:r>
      <w:r w:rsidR="00071FF5">
        <w:rPr>
          <w:b w:val="0"/>
          <w:sz w:val="22"/>
        </w:rPr>
        <w:t xml:space="preserve"> se na tekuće pomoći</w:t>
      </w:r>
      <w:r w:rsidR="002653D9">
        <w:rPr>
          <w:b w:val="0"/>
          <w:sz w:val="22"/>
        </w:rPr>
        <w:t xml:space="preserve"> državnog</w:t>
      </w:r>
      <w:r w:rsidR="00BE0AE5">
        <w:rPr>
          <w:b w:val="0"/>
          <w:sz w:val="22"/>
        </w:rPr>
        <w:t xml:space="preserve"> proračuna </w:t>
      </w:r>
      <w:r w:rsidR="002653D9">
        <w:rPr>
          <w:b w:val="0"/>
          <w:sz w:val="22"/>
        </w:rPr>
        <w:t xml:space="preserve">kroz opće prihode i primitke u iznosu od 1.332.950 eura </w:t>
      </w:r>
      <w:r w:rsidR="000B6A16">
        <w:rPr>
          <w:b w:val="0"/>
          <w:sz w:val="22"/>
        </w:rPr>
        <w:t xml:space="preserve">za </w:t>
      </w:r>
      <w:r w:rsidR="00071FF5">
        <w:rPr>
          <w:b w:val="0"/>
          <w:sz w:val="22"/>
        </w:rPr>
        <w:t xml:space="preserve">financiranje </w:t>
      </w:r>
      <w:r w:rsidR="00BE0AE5">
        <w:rPr>
          <w:b w:val="0"/>
          <w:sz w:val="22"/>
        </w:rPr>
        <w:t>rashoda za zaposlene</w:t>
      </w:r>
      <w:r w:rsidR="000B6A16">
        <w:rPr>
          <w:b w:val="0"/>
          <w:sz w:val="22"/>
        </w:rPr>
        <w:t xml:space="preserve"> (plaće, doprinose</w:t>
      </w:r>
      <w:r w:rsidR="00BE0AE5">
        <w:rPr>
          <w:b w:val="0"/>
          <w:sz w:val="22"/>
        </w:rPr>
        <w:t>,</w:t>
      </w:r>
      <w:r w:rsidR="000B6A16">
        <w:rPr>
          <w:b w:val="0"/>
          <w:sz w:val="22"/>
        </w:rPr>
        <w:t xml:space="preserve"> materijalna prava radnika),</w:t>
      </w:r>
      <w:r w:rsidR="00FC4EC7">
        <w:rPr>
          <w:b w:val="0"/>
          <w:sz w:val="22"/>
        </w:rPr>
        <w:t xml:space="preserve"> te</w:t>
      </w:r>
      <w:r w:rsidR="00BE0AE5">
        <w:rPr>
          <w:b w:val="0"/>
          <w:sz w:val="22"/>
        </w:rPr>
        <w:t xml:space="preserve"> </w:t>
      </w:r>
      <w:r w:rsidR="000B6A16">
        <w:rPr>
          <w:b w:val="0"/>
          <w:sz w:val="22"/>
        </w:rPr>
        <w:t xml:space="preserve">ostalih </w:t>
      </w:r>
      <w:r w:rsidR="00BE0AE5">
        <w:rPr>
          <w:b w:val="0"/>
          <w:sz w:val="22"/>
        </w:rPr>
        <w:t xml:space="preserve">pomoći </w:t>
      </w:r>
      <w:r w:rsidR="000B6A16">
        <w:rPr>
          <w:b w:val="0"/>
          <w:sz w:val="22"/>
        </w:rPr>
        <w:t xml:space="preserve">u iznosu od 55.500 eura (županija </w:t>
      </w:r>
      <w:r w:rsidR="00602CB0">
        <w:rPr>
          <w:b w:val="0"/>
          <w:sz w:val="22"/>
        </w:rPr>
        <w:t>KKŽ)</w:t>
      </w:r>
      <w:r w:rsidR="00BE0AE5">
        <w:rPr>
          <w:b w:val="0"/>
          <w:sz w:val="22"/>
        </w:rPr>
        <w:t xml:space="preserve"> za financiranje troškova prijevoza </w:t>
      </w:r>
      <w:r w:rsidR="000B6A16">
        <w:rPr>
          <w:b w:val="0"/>
          <w:sz w:val="22"/>
        </w:rPr>
        <w:t>zaposlenih na posao i s posla.</w:t>
      </w:r>
    </w:p>
    <w:p w14:paraId="3330DBC4" w14:textId="754F2289" w:rsidR="00BE0AE5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>65</w:t>
      </w:r>
      <w:r>
        <w:rPr>
          <w:b w:val="0"/>
          <w:sz w:val="22"/>
        </w:rPr>
        <w:t xml:space="preserve"> </w:t>
      </w:r>
      <w:r w:rsidR="00BE0AE5">
        <w:rPr>
          <w:b w:val="0"/>
          <w:sz w:val="22"/>
        </w:rPr>
        <w:t xml:space="preserve">Prihodi po posebnim propisima planirani su u iznosu od </w:t>
      </w:r>
      <w:r w:rsidR="000B6A16">
        <w:rPr>
          <w:b w:val="0"/>
          <w:sz w:val="22"/>
        </w:rPr>
        <w:t xml:space="preserve">44.000 </w:t>
      </w:r>
      <w:r w:rsidR="00BE0AE5">
        <w:rPr>
          <w:b w:val="0"/>
          <w:sz w:val="22"/>
        </w:rPr>
        <w:t>eura</w:t>
      </w:r>
      <w:r w:rsidR="009C422E">
        <w:rPr>
          <w:b w:val="0"/>
          <w:sz w:val="22"/>
        </w:rPr>
        <w:t xml:space="preserve">, </w:t>
      </w:r>
      <w:r w:rsidR="00BE0AE5">
        <w:rPr>
          <w:b w:val="0"/>
          <w:sz w:val="22"/>
        </w:rPr>
        <w:t xml:space="preserve">odnose se na sufinanciranje </w:t>
      </w:r>
      <w:r w:rsidR="00330B73">
        <w:rPr>
          <w:b w:val="0"/>
          <w:sz w:val="22"/>
        </w:rPr>
        <w:t>participacije učenika glazbenog obrazovanja.</w:t>
      </w:r>
    </w:p>
    <w:p w14:paraId="746BAA4B" w14:textId="26F55BD5" w:rsidR="00330B73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 xml:space="preserve">66 </w:t>
      </w:r>
      <w:r w:rsidR="00330B73">
        <w:rPr>
          <w:b w:val="0"/>
          <w:sz w:val="22"/>
        </w:rPr>
        <w:t xml:space="preserve">Prihodi od pruženih usluga u iznosu od </w:t>
      </w:r>
      <w:r w:rsidR="000B6A16">
        <w:rPr>
          <w:b w:val="0"/>
          <w:sz w:val="22"/>
        </w:rPr>
        <w:t>14.500 eura,</w:t>
      </w:r>
      <w:r w:rsidR="00330B73">
        <w:rPr>
          <w:b w:val="0"/>
          <w:sz w:val="22"/>
        </w:rPr>
        <w:t xml:space="preserve"> odnose se na ostvarene prihode od iznajmljivanja glazbenih instrumenata u vlasništvu škole.</w:t>
      </w:r>
    </w:p>
    <w:p w14:paraId="6170F302" w14:textId="7F53B752" w:rsidR="00330B73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>67</w:t>
      </w:r>
      <w:r>
        <w:rPr>
          <w:b w:val="0"/>
          <w:sz w:val="22"/>
        </w:rPr>
        <w:t xml:space="preserve"> </w:t>
      </w:r>
      <w:r w:rsidR="00330B73">
        <w:rPr>
          <w:b w:val="0"/>
          <w:sz w:val="22"/>
        </w:rPr>
        <w:t xml:space="preserve">Prihodi iz nadležnog proračuna u iznosu od </w:t>
      </w:r>
      <w:r w:rsidR="000B6A16">
        <w:rPr>
          <w:b w:val="0"/>
          <w:sz w:val="22"/>
        </w:rPr>
        <w:t>81.</w:t>
      </w:r>
      <w:r w:rsidR="00BF1094">
        <w:rPr>
          <w:b w:val="0"/>
          <w:sz w:val="22"/>
        </w:rPr>
        <w:t>480</w:t>
      </w:r>
      <w:r w:rsidR="000B6A16">
        <w:rPr>
          <w:b w:val="0"/>
          <w:sz w:val="22"/>
        </w:rPr>
        <w:t xml:space="preserve"> </w:t>
      </w:r>
      <w:r w:rsidR="00330B73">
        <w:rPr>
          <w:b w:val="0"/>
          <w:sz w:val="22"/>
        </w:rPr>
        <w:t>eura</w:t>
      </w:r>
      <w:r w:rsidR="000B6A16">
        <w:rPr>
          <w:b w:val="0"/>
          <w:sz w:val="22"/>
        </w:rPr>
        <w:t xml:space="preserve">, </w:t>
      </w:r>
      <w:r w:rsidR="00F57297">
        <w:rPr>
          <w:b w:val="0"/>
          <w:sz w:val="22"/>
        </w:rPr>
        <w:t>odnose se na</w:t>
      </w:r>
      <w:r w:rsidR="000B6A16">
        <w:rPr>
          <w:b w:val="0"/>
          <w:sz w:val="22"/>
        </w:rPr>
        <w:t xml:space="preserve"> </w:t>
      </w:r>
      <w:r w:rsidR="00F57297">
        <w:rPr>
          <w:b w:val="0"/>
          <w:sz w:val="22"/>
        </w:rPr>
        <w:t>pomoći izravnanja za decentralizirane funkcije unutar zakonskog standarda u iznosu od 47.180 eura, prihode unutar izvora općih prihoda i</w:t>
      </w:r>
      <w:r>
        <w:rPr>
          <w:b w:val="0"/>
          <w:sz w:val="22"/>
        </w:rPr>
        <w:t xml:space="preserve"> primitaka nadležnog proračuna </w:t>
      </w:r>
      <w:r w:rsidR="00F57297">
        <w:rPr>
          <w:b w:val="0"/>
          <w:sz w:val="22"/>
        </w:rPr>
        <w:t>u iznosu od 22.300 eura, te prihode</w:t>
      </w:r>
      <w:r w:rsidR="000B6A16">
        <w:rPr>
          <w:b w:val="0"/>
          <w:sz w:val="22"/>
        </w:rPr>
        <w:t xml:space="preserve"> za </w:t>
      </w:r>
      <w:r w:rsidR="00BF1094">
        <w:rPr>
          <w:b w:val="0"/>
          <w:sz w:val="22"/>
        </w:rPr>
        <w:t>predškol</w:t>
      </w:r>
      <w:r w:rsidR="000E46B6">
        <w:rPr>
          <w:b w:val="0"/>
          <w:sz w:val="22"/>
        </w:rPr>
        <w:t>s</w:t>
      </w:r>
      <w:r w:rsidR="00BF1094">
        <w:rPr>
          <w:b w:val="0"/>
          <w:sz w:val="22"/>
        </w:rPr>
        <w:t xml:space="preserve">ko </w:t>
      </w:r>
      <w:r w:rsidR="000E46B6">
        <w:rPr>
          <w:b w:val="0"/>
          <w:sz w:val="22"/>
        </w:rPr>
        <w:t>obrazovanje</w:t>
      </w:r>
      <w:r w:rsidR="000B6A16">
        <w:rPr>
          <w:b w:val="0"/>
          <w:sz w:val="22"/>
        </w:rPr>
        <w:t xml:space="preserve"> </w:t>
      </w:r>
      <w:r w:rsidR="00F57297">
        <w:rPr>
          <w:b w:val="0"/>
          <w:sz w:val="22"/>
        </w:rPr>
        <w:t>u iznosu od 12.</w:t>
      </w:r>
      <w:r w:rsidR="000E46B6">
        <w:rPr>
          <w:b w:val="0"/>
          <w:sz w:val="22"/>
        </w:rPr>
        <w:t>000</w:t>
      </w:r>
      <w:r w:rsidR="00F57297">
        <w:rPr>
          <w:b w:val="0"/>
          <w:sz w:val="22"/>
        </w:rPr>
        <w:t xml:space="preserve"> eura. </w:t>
      </w:r>
      <w:r w:rsidR="002B3A24">
        <w:rPr>
          <w:b w:val="0"/>
          <w:sz w:val="22"/>
        </w:rPr>
        <w:t>O</w:t>
      </w:r>
      <w:r w:rsidR="00330B73">
        <w:rPr>
          <w:b w:val="0"/>
          <w:sz w:val="22"/>
        </w:rPr>
        <w:t>dnose se na financiranje redovite djelatnosti glazbene škole.</w:t>
      </w:r>
    </w:p>
    <w:p w14:paraId="1C20DBE6" w14:textId="6EC36A70" w:rsidR="001625C4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>68</w:t>
      </w:r>
      <w:r>
        <w:rPr>
          <w:b w:val="0"/>
          <w:sz w:val="22"/>
        </w:rPr>
        <w:t xml:space="preserve"> </w:t>
      </w:r>
      <w:r w:rsidR="001625C4">
        <w:rPr>
          <w:b w:val="0"/>
          <w:sz w:val="22"/>
        </w:rPr>
        <w:t>O</w:t>
      </w:r>
      <w:r w:rsidR="00330B73">
        <w:rPr>
          <w:b w:val="0"/>
          <w:sz w:val="22"/>
        </w:rPr>
        <w:t xml:space="preserve">stali prihodi planirani su u iznosu od </w:t>
      </w:r>
      <w:r w:rsidR="001625C4">
        <w:rPr>
          <w:b w:val="0"/>
          <w:sz w:val="22"/>
        </w:rPr>
        <w:t>500</w:t>
      </w:r>
      <w:r w:rsidR="00330B73">
        <w:rPr>
          <w:b w:val="0"/>
          <w:sz w:val="22"/>
        </w:rPr>
        <w:t xml:space="preserve"> eura.</w:t>
      </w:r>
      <w:r w:rsidR="001625C4">
        <w:rPr>
          <w:b w:val="0"/>
          <w:sz w:val="22"/>
        </w:rPr>
        <w:t xml:space="preserve"> Odnose se na osvojene nagrade učenika i komornih sastava.</w:t>
      </w:r>
    </w:p>
    <w:p w14:paraId="45E8AEEE" w14:textId="7D129E4F" w:rsidR="009C422E" w:rsidRPr="00CD1EBD" w:rsidRDefault="00932D30" w:rsidP="00B9131F">
      <w:pPr>
        <w:spacing w:after="160" w:line="360" w:lineRule="auto"/>
        <w:jc w:val="both"/>
        <w:rPr>
          <w:b w:val="0"/>
          <w:sz w:val="22"/>
        </w:rPr>
      </w:pPr>
      <w:r w:rsidRPr="009C422E">
        <w:rPr>
          <w:b w:val="0"/>
          <w:sz w:val="22"/>
        </w:rPr>
        <w:t>Prihodi od prodaje nefinancijske imovine</w:t>
      </w:r>
      <w:r w:rsidR="001625C4">
        <w:rPr>
          <w:b w:val="0"/>
          <w:sz w:val="22"/>
        </w:rPr>
        <w:t xml:space="preserve"> planirani su u iznosu od 400 eura</w:t>
      </w:r>
      <w:r w:rsidR="002B3A24">
        <w:rPr>
          <w:b w:val="0"/>
          <w:sz w:val="22"/>
        </w:rPr>
        <w:t>.</w:t>
      </w:r>
    </w:p>
    <w:p w14:paraId="531A13BE" w14:textId="6E3F1935" w:rsidR="00932D30" w:rsidRPr="009C422E" w:rsidRDefault="00330B73" w:rsidP="00B9131F">
      <w:pPr>
        <w:pStyle w:val="Naslov3"/>
        <w:spacing w:line="360" w:lineRule="auto"/>
        <w:jc w:val="both"/>
        <w:rPr>
          <w:b w:val="0"/>
          <w:u w:val="none"/>
        </w:rPr>
      </w:pPr>
      <w:r w:rsidRPr="009C422E">
        <w:rPr>
          <w:b w:val="0"/>
          <w:u w:val="none"/>
        </w:rPr>
        <w:t>RASHODI</w:t>
      </w:r>
    </w:p>
    <w:p w14:paraId="2A743DC3" w14:textId="1CE93789" w:rsidR="00330B73" w:rsidRDefault="00330B73" w:rsidP="00B9131F">
      <w:pPr>
        <w:spacing w:after="160"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Rashodi</w:t>
      </w:r>
      <w:r w:rsidR="0014356D">
        <w:rPr>
          <w:b w:val="0"/>
          <w:sz w:val="22"/>
        </w:rPr>
        <w:t xml:space="preserve"> za</w:t>
      </w:r>
      <w:r w:rsidR="001625C4">
        <w:rPr>
          <w:b w:val="0"/>
          <w:sz w:val="22"/>
        </w:rPr>
        <w:t xml:space="preserve"> 2026</w:t>
      </w:r>
      <w:r>
        <w:rPr>
          <w:b w:val="0"/>
          <w:sz w:val="22"/>
        </w:rPr>
        <w:t xml:space="preserve">. godinu </w:t>
      </w:r>
      <w:r w:rsidR="0014356D">
        <w:rPr>
          <w:b w:val="0"/>
          <w:sz w:val="22"/>
        </w:rPr>
        <w:t xml:space="preserve">planirani su u iznosu od </w:t>
      </w:r>
      <w:r w:rsidR="001625C4">
        <w:rPr>
          <w:b w:val="0"/>
          <w:sz w:val="22"/>
        </w:rPr>
        <w:t>1.529.</w:t>
      </w:r>
      <w:r w:rsidR="000E46B6">
        <w:rPr>
          <w:b w:val="0"/>
          <w:sz w:val="22"/>
        </w:rPr>
        <w:t>330</w:t>
      </w:r>
      <w:r w:rsidR="0066459B">
        <w:rPr>
          <w:b w:val="0"/>
          <w:sz w:val="22"/>
        </w:rPr>
        <w:t xml:space="preserve"> </w:t>
      </w:r>
      <w:r w:rsidR="0014356D">
        <w:rPr>
          <w:b w:val="0"/>
          <w:sz w:val="22"/>
        </w:rPr>
        <w:t>eura.</w:t>
      </w:r>
    </w:p>
    <w:p w14:paraId="234F7574" w14:textId="4B093632" w:rsidR="0014356D" w:rsidRDefault="000E46B6" w:rsidP="00B9131F">
      <w:pPr>
        <w:spacing w:after="160" w:line="360" w:lineRule="auto"/>
        <w:jc w:val="both"/>
        <w:rPr>
          <w:b w:val="0"/>
          <w:sz w:val="22"/>
        </w:rPr>
      </w:pPr>
      <w:r w:rsidRPr="000E46B6">
        <w:rPr>
          <w:noProof/>
          <w:lang w:eastAsia="hr-HR"/>
        </w:rPr>
        <w:drawing>
          <wp:inline distT="0" distB="0" distL="0" distR="0" wp14:anchorId="18C717EA" wp14:editId="26D0F0B4">
            <wp:extent cx="5759224" cy="24288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74" cy="243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1C2B" w14:textId="4EB037B3" w:rsidR="0014356D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 xml:space="preserve">31 </w:t>
      </w:r>
      <w:r w:rsidR="0014356D">
        <w:rPr>
          <w:b w:val="0"/>
          <w:sz w:val="22"/>
        </w:rPr>
        <w:t xml:space="preserve">Rashodi za zaposlene u iznosu od </w:t>
      </w:r>
      <w:r w:rsidR="001625C4">
        <w:rPr>
          <w:b w:val="0"/>
          <w:sz w:val="22"/>
        </w:rPr>
        <w:t xml:space="preserve">1.315.050 </w:t>
      </w:r>
      <w:r w:rsidR="0014356D">
        <w:rPr>
          <w:b w:val="0"/>
          <w:sz w:val="22"/>
        </w:rPr>
        <w:t xml:space="preserve">eura odnose se na </w:t>
      </w:r>
      <w:r w:rsidR="001625C4">
        <w:rPr>
          <w:b w:val="0"/>
          <w:sz w:val="22"/>
        </w:rPr>
        <w:t>troškove plaća</w:t>
      </w:r>
      <w:r w:rsidR="0014356D">
        <w:rPr>
          <w:b w:val="0"/>
          <w:sz w:val="22"/>
        </w:rPr>
        <w:t xml:space="preserve"> za redovan rad, materijalna prava zaposlenih, te ostalih rashoda za zaposlene.</w:t>
      </w:r>
    </w:p>
    <w:p w14:paraId="442D5A2A" w14:textId="1EFFEF36" w:rsidR="0014356D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>32</w:t>
      </w:r>
      <w:r>
        <w:rPr>
          <w:b w:val="0"/>
          <w:sz w:val="22"/>
        </w:rPr>
        <w:t xml:space="preserve"> </w:t>
      </w:r>
      <w:r w:rsidR="0014356D">
        <w:rPr>
          <w:b w:val="0"/>
          <w:sz w:val="22"/>
        </w:rPr>
        <w:t xml:space="preserve">Materijalni rashodi planirani u iznosu od </w:t>
      </w:r>
      <w:r w:rsidR="000E46B6">
        <w:rPr>
          <w:b w:val="0"/>
          <w:sz w:val="22"/>
        </w:rPr>
        <w:t xml:space="preserve">207.600 </w:t>
      </w:r>
      <w:r w:rsidR="0066459B">
        <w:rPr>
          <w:b w:val="0"/>
          <w:sz w:val="22"/>
        </w:rPr>
        <w:t>eura</w:t>
      </w:r>
      <w:r w:rsidR="000E46B6">
        <w:rPr>
          <w:b w:val="0"/>
          <w:sz w:val="22"/>
        </w:rPr>
        <w:t xml:space="preserve"> </w:t>
      </w:r>
      <w:r w:rsidR="0014356D">
        <w:rPr>
          <w:b w:val="0"/>
          <w:sz w:val="22"/>
        </w:rPr>
        <w:t xml:space="preserve">odnose se na </w:t>
      </w:r>
      <w:r w:rsidR="000E46B6">
        <w:rPr>
          <w:b w:val="0"/>
          <w:sz w:val="22"/>
        </w:rPr>
        <w:t xml:space="preserve">rashode koji nastaju redovnim odvijanjem školske djelatnosti kao što su </w:t>
      </w:r>
      <w:r w:rsidR="0014356D">
        <w:rPr>
          <w:b w:val="0"/>
          <w:sz w:val="22"/>
        </w:rPr>
        <w:t>naknade troškova zaposlenih</w:t>
      </w:r>
      <w:r w:rsidR="000E46B6">
        <w:rPr>
          <w:b w:val="0"/>
          <w:sz w:val="22"/>
        </w:rPr>
        <w:t xml:space="preserve">, </w:t>
      </w:r>
      <w:r w:rsidR="0014356D">
        <w:rPr>
          <w:b w:val="0"/>
          <w:sz w:val="22"/>
        </w:rPr>
        <w:t xml:space="preserve">dnevnice za službena </w:t>
      </w:r>
      <w:r w:rsidR="0014356D">
        <w:rPr>
          <w:b w:val="0"/>
          <w:sz w:val="22"/>
        </w:rPr>
        <w:lastRenderedPageBreak/>
        <w:t>putovanja, naknade za prijevoz na posao i s posla, stručno usavršavanje, troškove  za materijal i energiju te ostalo.</w:t>
      </w:r>
    </w:p>
    <w:p w14:paraId="1AE8CE1C" w14:textId="599B0E06" w:rsidR="00213C73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 xml:space="preserve">34 </w:t>
      </w:r>
      <w:r w:rsidR="001625C4">
        <w:rPr>
          <w:b w:val="0"/>
          <w:sz w:val="22"/>
        </w:rPr>
        <w:t>F</w:t>
      </w:r>
      <w:r w:rsidR="0014356D">
        <w:rPr>
          <w:b w:val="0"/>
          <w:sz w:val="22"/>
        </w:rPr>
        <w:t>inancijski ras</w:t>
      </w:r>
      <w:r w:rsidR="001625C4">
        <w:rPr>
          <w:b w:val="0"/>
          <w:sz w:val="22"/>
        </w:rPr>
        <w:t>hodi planirani su u iznosu od 30</w:t>
      </w:r>
      <w:r w:rsidR="0014356D">
        <w:rPr>
          <w:b w:val="0"/>
          <w:sz w:val="22"/>
        </w:rPr>
        <w:t xml:space="preserve"> eura za bankarske usluge, kamate te ostale ne</w:t>
      </w:r>
      <w:r w:rsidR="00602CB0">
        <w:rPr>
          <w:b w:val="0"/>
          <w:sz w:val="22"/>
        </w:rPr>
        <w:t>spomenute  financijske rashode.</w:t>
      </w:r>
    </w:p>
    <w:p w14:paraId="41BEA057" w14:textId="638A31D7" w:rsidR="00E76E1C" w:rsidRDefault="00E80E83" w:rsidP="00B9131F">
      <w:pPr>
        <w:spacing w:after="160"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 xml:space="preserve">38 </w:t>
      </w:r>
      <w:r w:rsidR="001625C4">
        <w:rPr>
          <w:b w:val="0"/>
          <w:sz w:val="22"/>
        </w:rPr>
        <w:t xml:space="preserve">Ostali rashodi </w:t>
      </w:r>
      <w:r w:rsidR="00E76E1C">
        <w:rPr>
          <w:b w:val="0"/>
          <w:sz w:val="22"/>
        </w:rPr>
        <w:t>odnose se na tekuće donacije građanima i kućanstvima, za osvojene nagrade na natjecanjima.</w:t>
      </w:r>
    </w:p>
    <w:p w14:paraId="57936B8C" w14:textId="5B692B78" w:rsidR="00196509" w:rsidRPr="002B3A24" w:rsidRDefault="00E80E83" w:rsidP="00B9131F">
      <w:pPr>
        <w:spacing w:after="160" w:line="360" w:lineRule="auto"/>
        <w:jc w:val="both"/>
        <w:rPr>
          <w:b w:val="0"/>
          <w:sz w:val="22"/>
        </w:rPr>
      </w:pPr>
      <w:r w:rsidRPr="00E80E83">
        <w:rPr>
          <w:sz w:val="22"/>
        </w:rPr>
        <w:t>42</w:t>
      </w:r>
      <w:r w:rsidR="00213C73" w:rsidRPr="00E80E83">
        <w:rPr>
          <w:sz w:val="22"/>
        </w:rPr>
        <w:t xml:space="preserve"> </w:t>
      </w:r>
      <w:r w:rsidR="00213C73">
        <w:rPr>
          <w:b w:val="0"/>
          <w:sz w:val="22"/>
        </w:rPr>
        <w:t xml:space="preserve">Rashodi za nabavu proizvedene dugotrajne imovine u iznosu do </w:t>
      </w:r>
      <w:r w:rsidR="00E76E1C">
        <w:rPr>
          <w:b w:val="0"/>
          <w:sz w:val="22"/>
        </w:rPr>
        <w:t>6.400</w:t>
      </w:r>
      <w:r w:rsidR="00213C73">
        <w:rPr>
          <w:b w:val="0"/>
          <w:sz w:val="22"/>
        </w:rPr>
        <w:t xml:space="preserve"> eura planirani</w:t>
      </w:r>
      <w:r w:rsidR="0066459B">
        <w:rPr>
          <w:b w:val="0"/>
          <w:sz w:val="22"/>
        </w:rPr>
        <w:t xml:space="preserve"> su za  nabavu glazbene opreme i uredskog n</w:t>
      </w:r>
      <w:r w:rsidR="002B3A24">
        <w:rPr>
          <w:b w:val="0"/>
          <w:sz w:val="22"/>
        </w:rPr>
        <w:t>amještaja za opremanje učionica</w:t>
      </w:r>
    </w:p>
    <w:p w14:paraId="1465EEDB" w14:textId="190A0101" w:rsidR="00196509" w:rsidRDefault="00196509" w:rsidP="00B9131F">
      <w:pPr>
        <w:spacing w:line="360" w:lineRule="auto"/>
        <w:rPr>
          <w:sz w:val="22"/>
        </w:rPr>
      </w:pPr>
    </w:p>
    <w:p w14:paraId="74CAAC24" w14:textId="77777777" w:rsidR="001F49DE" w:rsidRDefault="001F49DE" w:rsidP="00B9131F">
      <w:pPr>
        <w:pStyle w:val="Naslov2"/>
        <w:spacing w:line="360" w:lineRule="auto"/>
        <w:jc w:val="center"/>
        <w:rPr>
          <w:b w:val="0"/>
        </w:rPr>
      </w:pPr>
    </w:p>
    <w:p w14:paraId="4565ABA2" w14:textId="0D91971D" w:rsidR="00CD7BF9" w:rsidRPr="004B649B" w:rsidRDefault="00213C73" w:rsidP="00B9131F">
      <w:pPr>
        <w:pStyle w:val="Naslov2"/>
        <w:spacing w:line="360" w:lineRule="auto"/>
        <w:jc w:val="center"/>
        <w:rPr>
          <w:b w:val="0"/>
        </w:rPr>
      </w:pPr>
      <w:r w:rsidRPr="004B649B">
        <w:rPr>
          <w:b w:val="0"/>
        </w:rPr>
        <w:t>OBRAZLOŽENJE POSEBNOG DIJELA</w:t>
      </w:r>
      <w:r w:rsidR="00110F63" w:rsidRPr="004B649B">
        <w:rPr>
          <w:b w:val="0"/>
        </w:rPr>
        <w:t xml:space="preserve"> </w:t>
      </w:r>
      <w:r w:rsidRPr="004B649B">
        <w:rPr>
          <w:b w:val="0"/>
        </w:rPr>
        <w:t>FINANCIJSKOG PLANA</w:t>
      </w:r>
    </w:p>
    <w:p w14:paraId="1DEE9E86" w14:textId="0BCC794B" w:rsidR="00CD7BF9" w:rsidRPr="009C422E" w:rsidRDefault="00CD7BF9" w:rsidP="00B9131F">
      <w:pPr>
        <w:jc w:val="both"/>
      </w:pPr>
    </w:p>
    <w:p w14:paraId="20EB3EB2" w14:textId="7C766183" w:rsidR="00CD7BF9" w:rsidRPr="009C422E" w:rsidRDefault="005B2B52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  <w:r w:rsidRPr="009C422E">
        <w:rPr>
          <w:rFonts w:eastAsia="Times New Roman" w:cstheme="minorHAnsi"/>
          <w:b w:val="0"/>
          <w:sz w:val="22"/>
        </w:rPr>
        <w:t>Djelatnost Škole obuhvaća</w:t>
      </w:r>
      <w:r w:rsidR="00E80E83" w:rsidRPr="009C422E">
        <w:rPr>
          <w:rFonts w:eastAsia="Times New Roman" w:cstheme="minorHAnsi"/>
          <w:b w:val="0"/>
          <w:sz w:val="22"/>
        </w:rPr>
        <w:t xml:space="preserve"> </w:t>
      </w:r>
      <w:r w:rsidR="004371E2" w:rsidRPr="009C422E">
        <w:rPr>
          <w:rFonts w:eastAsia="Times New Roman" w:cstheme="minorHAnsi"/>
          <w:b w:val="0"/>
          <w:sz w:val="22"/>
        </w:rPr>
        <w:t xml:space="preserve">predškolsko glazbeno </w:t>
      </w:r>
      <w:r w:rsidR="004371E2" w:rsidRPr="009C422E">
        <w:rPr>
          <w:rFonts w:eastAsia="Times New Roman" w:cstheme="minorHAnsi"/>
          <w:b w:val="0"/>
          <w:i/>
          <w:sz w:val="22"/>
        </w:rPr>
        <w:t>obrazovanj</w:t>
      </w:r>
      <w:r w:rsidR="00110F63" w:rsidRPr="009C422E">
        <w:rPr>
          <w:rFonts w:eastAsia="Times New Roman" w:cstheme="minorHAnsi"/>
          <w:b w:val="0"/>
          <w:i/>
          <w:sz w:val="22"/>
        </w:rPr>
        <w:t>e Početnički solfeggio 1 i 2</w:t>
      </w:r>
      <w:r w:rsidR="00932D30" w:rsidRPr="009C422E">
        <w:rPr>
          <w:rFonts w:eastAsia="Times New Roman" w:cstheme="minorHAnsi"/>
          <w:b w:val="0"/>
          <w:sz w:val="22"/>
        </w:rPr>
        <w:t>,</w:t>
      </w:r>
      <w:r w:rsidR="00E80E83" w:rsidRPr="009C422E">
        <w:rPr>
          <w:rFonts w:eastAsia="Times New Roman" w:cstheme="minorHAnsi"/>
          <w:b w:val="0"/>
          <w:sz w:val="22"/>
        </w:rPr>
        <w:t xml:space="preserve"> </w:t>
      </w:r>
      <w:r w:rsidR="004371E2" w:rsidRPr="009C422E">
        <w:rPr>
          <w:rFonts w:eastAsia="Times New Roman" w:cstheme="minorHAnsi"/>
          <w:b w:val="0"/>
          <w:i/>
          <w:sz w:val="22"/>
        </w:rPr>
        <w:t>osnovno glazbeno obrazo</w:t>
      </w:r>
      <w:r w:rsidR="00110F63" w:rsidRPr="009C422E">
        <w:rPr>
          <w:rFonts w:eastAsia="Times New Roman" w:cstheme="minorHAnsi"/>
          <w:b w:val="0"/>
          <w:i/>
          <w:sz w:val="22"/>
        </w:rPr>
        <w:t>vanje</w:t>
      </w:r>
      <w:r w:rsidR="00110F63" w:rsidRPr="009C422E">
        <w:rPr>
          <w:rFonts w:eastAsia="Times New Roman" w:cstheme="minorHAnsi"/>
          <w:b w:val="0"/>
          <w:sz w:val="22"/>
        </w:rPr>
        <w:t xml:space="preserve"> u šestogodišnjem trajanju,</w:t>
      </w:r>
      <w:r w:rsidR="00E80E83" w:rsidRPr="009C422E">
        <w:rPr>
          <w:rFonts w:eastAsia="Times New Roman" w:cstheme="minorHAnsi"/>
          <w:b w:val="0"/>
          <w:sz w:val="22"/>
        </w:rPr>
        <w:t xml:space="preserve"> </w:t>
      </w:r>
      <w:r w:rsidR="004371E2" w:rsidRPr="009C422E">
        <w:rPr>
          <w:rFonts w:eastAsia="Times New Roman" w:cstheme="minorHAnsi"/>
          <w:b w:val="0"/>
          <w:i/>
          <w:sz w:val="22"/>
        </w:rPr>
        <w:t>pripremno glazbeno obrazovanje</w:t>
      </w:r>
      <w:r w:rsidR="004371E2" w:rsidRPr="009C422E">
        <w:rPr>
          <w:rFonts w:eastAsia="Times New Roman" w:cstheme="minorHAnsi"/>
          <w:b w:val="0"/>
          <w:sz w:val="22"/>
        </w:rPr>
        <w:t xml:space="preserve"> za srednje obrazovanje u dvogodišnjem trajanju</w:t>
      </w:r>
      <w:r w:rsidR="00110F63" w:rsidRPr="009C422E">
        <w:rPr>
          <w:rFonts w:eastAsia="Times New Roman" w:cstheme="minorHAnsi"/>
          <w:b w:val="0"/>
          <w:sz w:val="22"/>
        </w:rPr>
        <w:t xml:space="preserve">, </w:t>
      </w:r>
      <w:r w:rsidR="004371E2" w:rsidRPr="009C422E">
        <w:rPr>
          <w:rFonts w:eastAsia="Times New Roman" w:cstheme="minorHAnsi"/>
          <w:b w:val="0"/>
          <w:sz w:val="22"/>
        </w:rPr>
        <w:t>te srednje</w:t>
      </w:r>
      <w:r w:rsidR="009C422E">
        <w:rPr>
          <w:rFonts w:eastAsia="Times New Roman" w:cstheme="minorHAnsi"/>
          <w:b w:val="0"/>
          <w:sz w:val="22"/>
        </w:rPr>
        <w:t>školsko</w:t>
      </w:r>
      <w:r w:rsidR="004371E2" w:rsidRPr="009C422E">
        <w:rPr>
          <w:rFonts w:eastAsia="Times New Roman" w:cstheme="minorHAnsi"/>
          <w:b w:val="0"/>
          <w:sz w:val="22"/>
        </w:rPr>
        <w:t xml:space="preserve"> obrazovanje</w:t>
      </w:r>
      <w:r w:rsidR="0066459B" w:rsidRPr="009C422E">
        <w:rPr>
          <w:rFonts w:eastAsia="Times New Roman" w:cstheme="minorHAnsi"/>
          <w:b w:val="0"/>
          <w:sz w:val="22"/>
        </w:rPr>
        <w:t xml:space="preserve"> u četverogodišnjem trajanju</w:t>
      </w:r>
      <w:r w:rsidR="00110F63" w:rsidRPr="009C422E">
        <w:rPr>
          <w:rFonts w:eastAsia="Times New Roman" w:cstheme="minorHAnsi"/>
          <w:b w:val="0"/>
          <w:sz w:val="22"/>
        </w:rPr>
        <w:t>.</w:t>
      </w:r>
      <w:r w:rsidR="0066459B" w:rsidRPr="009C422E">
        <w:rPr>
          <w:rFonts w:eastAsia="Times New Roman" w:cstheme="minorHAnsi"/>
          <w:b w:val="0"/>
          <w:sz w:val="22"/>
        </w:rPr>
        <w:t xml:space="preserve"> </w:t>
      </w:r>
      <w:r w:rsidR="00E80E83" w:rsidRPr="009C422E">
        <w:rPr>
          <w:rFonts w:eastAsia="Times New Roman" w:cstheme="minorHAnsi"/>
          <w:b w:val="0"/>
          <w:sz w:val="22"/>
        </w:rPr>
        <w:t xml:space="preserve"> </w:t>
      </w:r>
      <w:r w:rsidR="00B57E0F" w:rsidRPr="009C422E">
        <w:rPr>
          <w:rFonts w:cstheme="minorHAnsi"/>
          <w:b w:val="0"/>
          <w:sz w:val="22"/>
        </w:rPr>
        <w:t xml:space="preserve">Škola provodi glazbene programe na svim razinama obrazovanja u skladu s utvrđenom djelatnošću i važećim zakonskim propisima. </w:t>
      </w:r>
    </w:p>
    <w:p w14:paraId="18CBFCBC" w14:textId="77777777" w:rsidR="00CD7BF9" w:rsidRPr="009C422E" w:rsidRDefault="00CD7BF9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</w:p>
    <w:p w14:paraId="04375702" w14:textId="55943A32" w:rsidR="009C422E" w:rsidRDefault="00B57E0F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Posebni dio financijskog plana Glazbene škole obuhvaća obrazloženje plana rashoda prema izvorima financiranja i ekonomskoj klasifikaciji, raspoređenih u programe koji se sastoje od pripadajućih aktivnosti i projekata.</w:t>
      </w:r>
      <w:r w:rsidR="00CD7BF9" w:rsidRPr="009C422E">
        <w:rPr>
          <w:rFonts w:eastAsia="Times New Roman" w:cstheme="minorHAnsi"/>
          <w:b w:val="0"/>
          <w:sz w:val="22"/>
        </w:rPr>
        <w:t xml:space="preserve"> </w:t>
      </w:r>
    </w:p>
    <w:p w14:paraId="6DB02BC3" w14:textId="77777777" w:rsidR="009C422E" w:rsidRDefault="009C422E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</w:p>
    <w:p w14:paraId="50EE5434" w14:textId="71B59DCA" w:rsidR="008E7FA8" w:rsidRPr="009C422E" w:rsidRDefault="00196509" w:rsidP="00B9131F">
      <w:pPr>
        <w:spacing w:line="360" w:lineRule="auto"/>
        <w:jc w:val="both"/>
        <w:rPr>
          <w:rFonts w:eastAsia="Times New Roman"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Od Proračuna za 2026. godinu a z</w:t>
      </w:r>
      <w:r w:rsidR="00CE0541" w:rsidRPr="009C422E">
        <w:rPr>
          <w:rFonts w:cstheme="minorHAnsi"/>
          <w:b w:val="0"/>
          <w:sz w:val="22"/>
        </w:rPr>
        <w:t xml:space="preserve">a </w:t>
      </w:r>
      <w:r w:rsidR="00B9131F">
        <w:rPr>
          <w:rFonts w:cstheme="minorHAnsi"/>
          <w:b w:val="0"/>
          <w:sz w:val="22"/>
        </w:rPr>
        <w:t>Financijski plan</w:t>
      </w:r>
      <w:r w:rsidR="009C422E">
        <w:rPr>
          <w:rFonts w:cstheme="minorHAnsi"/>
          <w:b w:val="0"/>
          <w:sz w:val="22"/>
        </w:rPr>
        <w:t xml:space="preserve"> Glazbene škole</w:t>
      </w:r>
      <w:r w:rsidRPr="009C422E">
        <w:rPr>
          <w:rFonts w:cstheme="minorHAnsi"/>
          <w:b w:val="0"/>
          <w:sz w:val="22"/>
        </w:rPr>
        <w:t xml:space="preserve"> za </w:t>
      </w:r>
      <w:r w:rsidR="00110F63" w:rsidRPr="009C422E">
        <w:rPr>
          <w:rFonts w:cstheme="minorHAnsi"/>
          <w:b w:val="0"/>
          <w:sz w:val="22"/>
        </w:rPr>
        <w:t>2026</w:t>
      </w:r>
      <w:r w:rsidRPr="009C422E">
        <w:rPr>
          <w:rFonts w:cstheme="minorHAnsi"/>
          <w:b w:val="0"/>
          <w:sz w:val="22"/>
        </w:rPr>
        <w:t>. godinu,</w:t>
      </w:r>
      <w:r w:rsidR="000F6946" w:rsidRPr="009C422E">
        <w:rPr>
          <w:rFonts w:cstheme="minorHAnsi"/>
          <w:b w:val="0"/>
          <w:sz w:val="22"/>
        </w:rPr>
        <w:t xml:space="preserve"> primjenjuje se nova</w:t>
      </w:r>
      <w:r w:rsidR="00CE0541" w:rsidRPr="009C422E">
        <w:rPr>
          <w:rFonts w:cstheme="minorHAnsi"/>
          <w:b w:val="0"/>
          <w:sz w:val="22"/>
        </w:rPr>
        <w:t xml:space="preserve"> klasifikacija</w:t>
      </w:r>
      <w:r w:rsidRPr="009C422E">
        <w:rPr>
          <w:rFonts w:cstheme="minorHAnsi"/>
          <w:b w:val="0"/>
          <w:sz w:val="22"/>
        </w:rPr>
        <w:t xml:space="preserve"> po izvorima financiranja</w:t>
      </w:r>
      <w:r w:rsidR="00B57E0F" w:rsidRPr="009C422E">
        <w:rPr>
          <w:rFonts w:cstheme="minorHAnsi"/>
          <w:b w:val="0"/>
          <w:sz w:val="22"/>
        </w:rPr>
        <w:t xml:space="preserve"> i aktivnostima</w:t>
      </w:r>
      <w:r w:rsidRPr="009C422E">
        <w:rPr>
          <w:rFonts w:cstheme="minorHAnsi"/>
          <w:b w:val="0"/>
          <w:sz w:val="22"/>
        </w:rPr>
        <w:t>.</w:t>
      </w:r>
      <w:r w:rsidR="000F6946" w:rsidRPr="009C422E">
        <w:rPr>
          <w:rFonts w:cstheme="minorHAnsi"/>
          <w:b w:val="0"/>
          <w:sz w:val="22"/>
        </w:rPr>
        <w:t xml:space="preserve"> </w:t>
      </w:r>
    </w:p>
    <w:p w14:paraId="5128DAA0" w14:textId="77777777" w:rsidR="00B57E0F" w:rsidRPr="009C422E" w:rsidRDefault="00B57E0F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2E4E4923" w14:textId="639000D5" w:rsidR="00196509" w:rsidRPr="009C422E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noProof/>
          <w:lang w:eastAsia="hr-HR"/>
        </w:rPr>
        <w:lastRenderedPageBreak/>
        <w:drawing>
          <wp:inline distT="0" distB="0" distL="0" distR="0" wp14:anchorId="15F7E150" wp14:editId="5729B771">
            <wp:extent cx="5760720" cy="3907271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28" cy="391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C771" w14:textId="6BB80DDF" w:rsidR="009C422E" w:rsidRPr="009C422E" w:rsidRDefault="009C422E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4ECDC3E7" w14:textId="53FFC023" w:rsidR="00CA1829" w:rsidRPr="009C422E" w:rsidRDefault="00EB364C" w:rsidP="00B9131F">
      <w:pPr>
        <w:spacing w:line="360" w:lineRule="auto"/>
        <w:jc w:val="both"/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</w:pPr>
      <w:r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>AKTIVNOST</w:t>
      </w:r>
      <w:r w:rsidR="000F6946"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 xml:space="preserve"> A</w:t>
      </w:r>
      <w:r w:rsidR="00196509"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>320301</w:t>
      </w:r>
      <w:r w:rsidR="000F6946"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 xml:space="preserve"> </w:t>
      </w:r>
      <w:r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>PREDŠKOLSKI PROGRAM</w:t>
      </w:r>
      <w:r w:rsidR="005B2B52"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 xml:space="preserve"> </w:t>
      </w:r>
    </w:p>
    <w:p w14:paraId="32772D09" w14:textId="1F49FEE0" w:rsidR="00A979BB" w:rsidRPr="009C422E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Financijski plan izrađen je s ciljem osiguranja optimalnih uvjeta za provedbu redovitog programa predškolskog odgoja i obrazovanja, kao i posebnih i kraćih programa usmjerenih na razvoj dječjih potencijala. Prihodi su planirani u iznosu od</w:t>
      </w:r>
      <w:r w:rsidR="009C422E">
        <w:rPr>
          <w:rFonts w:cstheme="minorHAnsi"/>
          <w:b w:val="0"/>
          <w:sz w:val="22"/>
        </w:rPr>
        <w:t xml:space="preserve"> 12.000 </w:t>
      </w:r>
      <w:r w:rsidRPr="009C422E">
        <w:rPr>
          <w:rFonts w:cstheme="minorHAnsi"/>
          <w:b w:val="0"/>
          <w:sz w:val="22"/>
        </w:rPr>
        <w:t xml:space="preserve">eura unutar izvora 1100009 Opći prihodi i primici. </w:t>
      </w:r>
    </w:p>
    <w:p w14:paraId="4F2B18CB" w14:textId="77777777" w:rsidR="00EB364C" w:rsidRPr="009C422E" w:rsidRDefault="00EB364C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7ABF82C3" w14:textId="5C1F0FB2" w:rsidR="00A82743" w:rsidRPr="009C422E" w:rsidRDefault="00A82743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Predškolski glazbeni program provodi se za djecu 1. i 2. razreda osnovne škole u dvogodišnjem trajanju, kroz programe Početnički solfeggio 1 i 2.</w:t>
      </w:r>
      <w:r w:rsidR="00EB364C" w:rsidRPr="009C422E">
        <w:rPr>
          <w:rFonts w:cstheme="minorHAnsi"/>
          <w:b w:val="0"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>Program je namijenjen djeci koja pokazuju interes i sposobnosti za glazbu te predstavlja temelj za kasnije uspješno pohađanje osnovne glazbene škole. Nastava se odvija u grupama od 12 do 15 polaznika, dva puta tjedno po jedan školski sat. Tijekom svakog polugodišta djeca javnim nastupima i produkcijama predstavljaju svoja nova znanja, iskustva i stečene glazbene vještine.</w:t>
      </w:r>
      <w:r w:rsidR="00EB364C" w:rsidRPr="009C422E">
        <w:rPr>
          <w:rFonts w:cstheme="minorHAnsi"/>
        </w:rPr>
        <w:t xml:space="preserve"> </w:t>
      </w:r>
      <w:r w:rsidR="00EB364C" w:rsidRPr="009C422E">
        <w:rPr>
          <w:rFonts w:cstheme="minorHAnsi"/>
          <w:b w:val="0"/>
          <w:sz w:val="22"/>
        </w:rPr>
        <w:t>Program predškolskog uzrasta u glazbenoj školi stoga predstavlja izvrsnu pripremu za daljnje glazbeno obrazovanje, ali istovremeno, razvijajući maštu, stvaralaštvo i izražajnost, doprinosi sveukupnom razvoju djeteta i osposobljava ga za daljnje obrazovne i životne izazove u skladu s njegovim interesima i sposobnostima.</w:t>
      </w:r>
    </w:p>
    <w:p w14:paraId="70E39DE6" w14:textId="5787A781" w:rsidR="00A82743" w:rsidRPr="009C422E" w:rsidRDefault="00A82743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Cilj programa je</w:t>
      </w:r>
      <w:r w:rsidRPr="009C422E">
        <w:rPr>
          <w:rFonts w:cstheme="minorHAnsi"/>
          <w:b w:val="0"/>
          <w:bCs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razviti osnovne </w:t>
      </w:r>
      <w:r w:rsidRPr="009C422E">
        <w:rPr>
          <w:rFonts w:cstheme="minorHAnsi"/>
          <w:b w:val="0"/>
          <w:bCs/>
          <w:sz w:val="22"/>
        </w:rPr>
        <w:t>glazbene sposobnosti</w:t>
      </w:r>
      <w:r w:rsidRPr="009C422E">
        <w:rPr>
          <w:rFonts w:cstheme="minorHAnsi"/>
          <w:b w:val="0"/>
          <w:sz w:val="22"/>
        </w:rPr>
        <w:t xml:space="preserve"> (slušni, ritamski i glasovni razvoj), potaknuti </w:t>
      </w:r>
      <w:r w:rsidRPr="009C422E">
        <w:rPr>
          <w:rFonts w:cstheme="minorHAnsi"/>
          <w:b w:val="0"/>
          <w:bCs/>
          <w:sz w:val="22"/>
        </w:rPr>
        <w:t>ljubav prema glazbi</w:t>
      </w:r>
      <w:r w:rsidRPr="009C422E">
        <w:rPr>
          <w:rFonts w:cstheme="minorHAnsi"/>
          <w:b w:val="0"/>
          <w:sz w:val="22"/>
        </w:rPr>
        <w:t xml:space="preserve"> i stvaralačko izražavanje kroz igru, pjesmu i pokret, razviti </w:t>
      </w:r>
      <w:r w:rsidRPr="009C422E">
        <w:rPr>
          <w:rFonts w:cstheme="minorHAnsi"/>
          <w:b w:val="0"/>
          <w:bCs/>
          <w:sz w:val="22"/>
        </w:rPr>
        <w:t>osjećaj za ritam, intonaciju, melodijsko kretanje, dinamiku i boju tona</w:t>
      </w:r>
      <w:r w:rsidRPr="009C422E">
        <w:rPr>
          <w:rFonts w:cstheme="minorHAnsi"/>
          <w:b w:val="0"/>
          <w:sz w:val="22"/>
        </w:rPr>
        <w:t xml:space="preserve">, potaknuti </w:t>
      </w:r>
      <w:r w:rsidRPr="009C422E">
        <w:rPr>
          <w:rFonts w:cstheme="minorHAnsi"/>
          <w:b w:val="0"/>
          <w:bCs/>
          <w:sz w:val="22"/>
        </w:rPr>
        <w:t>motorički razvoj i koordinaciju</w:t>
      </w:r>
      <w:r w:rsidRPr="009C422E">
        <w:rPr>
          <w:rFonts w:cstheme="minorHAnsi"/>
          <w:b w:val="0"/>
          <w:sz w:val="22"/>
        </w:rPr>
        <w:t xml:space="preserve"> kroz ritamske i pokretne igre, osigurati </w:t>
      </w:r>
      <w:r w:rsidRPr="009C422E">
        <w:rPr>
          <w:rFonts w:cstheme="minorHAnsi"/>
          <w:b w:val="0"/>
          <w:bCs/>
          <w:sz w:val="22"/>
        </w:rPr>
        <w:t>pozitivno i poticajno okruženje</w:t>
      </w:r>
      <w:r w:rsidRPr="009C422E">
        <w:rPr>
          <w:rFonts w:cstheme="minorHAnsi"/>
          <w:b w:val="0"/>
          <w:sz w:val="22"/>
        </w:rPr>
        <w:t xml:space="preserve"> za učenje i izražavanje, pripremiti </w:t>
      </w:r>
      <w:r w:rsidRPr="009C422E">
        <w:rPr>
          <w:rFonts w:cstheme="minorHAnsi"/>
          <w:b w:val="0"/>
          <w:sz w:val="22"/>
        </w:rPr>
        <w:lastRenderedPageBreak/>
        <w:t xml:space="preserve">djecu za </w:t>
      </w:r>
      <w:r w:rsidRPr="009C422E">
        <w:rPr>
          <w:rFonts w:cstheme="minorHAnsi"/>
          <w:b w:val="0"/>
          <w:bCs/>
          <w:sz w:val="22"/>
        </w:rPr>
        <w:t>nastavak glazbenog obrazovanja</w:t>
      </w:r>
      <w:r w:rsidRPr="009C422E">
        <w:rPr>
          <w:rFonts w:cstheme="minorHAnsi"/>
          <w:b w:val="0"/>
          <w:sz w:val="22"/>
        </w:rPr>
        <w:t xml:space="preserve"> u osnovnoj glazbenoj školi, razvijati </w:t>
      </w:r>
      <w:r w:rsidRPr="009C422E">
        <w:rPr>
          <w:rFonts w:cstheme="minorHAnsi"/>
          <w:b w:val="0"/>
          <w:bCs/>
          <w:sz w:val="22"/>
        </w:rPr>
        <w:t>samopouzdanje i javni nastup</w:t>
      </w:r>
      <w:r w:rsidRPr="009C422E">
        <w:rPr>
          <w:rFonts w:cstheme="minorHAnsi"/>
          <w:b w:val="0"/>
          <w:sz w:val="22"/>
        </w:rPr>
        <w:t xml:space="preserve"> kroz produkcije i zajedničko muziciranje. Kroz takve oblike učenja kod djece se potiče razvoj svih elemenata potrebnih za uspješan nastavak glazbenog obrazovanja: osjećaja za ritam i intonaciju, praćenja melodijskog kretanja, razlikovanja dinamike i dinamičkih promjena, prepoznavanja boje tona te razvoja motorike i koordinacije.</w:t>
      </w:r>
    </w:p>
    <w:p w14:paraId="120308BE" w14:textId="553D7D0D" w:rsidR="00EB364C" w:rsidRPr="009C422E" w:rsidRDefault="00EB364C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  <w:r w:rsidRPr="009C422E">
        <w:rPr>
          <w:rFonts w:cstheme="minorHAnsi"/>
          <w:b w:val="0"/>
          <w:bCs/>
          <w:sz w:val="22"/>
        </w:rPr>
        <w:t>Pokazatelji uspješnosti je r</w:t>
      </w:r>
      <w:r w:rsidRPr="009C422E">
        <w:rPr>
          <w:rFonts w:cstheme="minorHAnsi"/>
          <w:b w:val="0"/>
          <w:sz w:val="22"/>
        </w:rPr>
        <w:t xml:space="preserve">edovita provedba planiranih aktivnosti prema godišnjem planu rada, aktivno i motivirano sudjelovanje djece u nastavi i javnim nastupima, vidljiv napredak djece u glazbenim sposobnostima (slušni, ritamski, glasovni razvoj), pozitivne povratne informacije roditelja i učenika kroz evaluacije, povećan broj polaznika koji nastavljaju školovanje u osnovnoj glazbenoj školi, stručni </w:t>
      </w:r>
      <w:r w:rsidR="00984BE9">
        <w:rPr>
          <w:rFonts w:cstheme="minorHAnsi"/>
          <w:b w:val="0"/>
          <w:sz w:val="22"/>
        </w:rPr>
        <w:t>napredak nastavnika koji provodi</w:t>
      </w:r>
      <w:r w:rsidRPr="009C422E">
        <w:rPr>
          <w:rFonts w:cstheme="minorHAnsi"/>
          <w:b w:val="0"/>
          <w:sz w:val="22"/>
        </w:rPr>
        <w:t xml:space="preserve"> program (sudjelovanje na edukacijama i radionicama).</w:t>
      </w:r>
    </w:p>
    <w:p w14:paraId="3DE311AC" w14:textId="5FB38090" w:rsidR="005B2B52" w:rsidRPr="009C422E" w:rsidRDefault="005B2B52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7D77D88F" w14:textId="3F7552BA" w:rsidR="00EB364C" w:rsidRPr="009C422E" w:rsidRDefault="00EB364C" w:rsidP="00B9131F">
      <w:pPr>
        <w:spacing w:line="360" w:lineRule="auto"/>
        <w:jc w:val="both"/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</w:pPr>
      <w:r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>AKTIVNOST A320303 RASHODI ZAKONSKOG STANDARDA</w:t>
      </w:r>
      <w:r w:rsidR="00A33B4E"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 xml:space="preserve"> </w:t>
      </w:r>
    </w:p>
    <w:p w14:paraId="5EDCD649" w14:textId="4DCFAC16" w:rsidR="00D37040" w:rsidRPr="009C422E" w:rsidRDefault="00CD7BF9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Rashodi Glazbene škole unutar aktivnosti A320302 zakonskog standarda decentralizirane funkcije za 2026. godinu odnose se najvećim dijelom na rashode za materijal i energiju (322) u iznosu od 10.230 eura, rashode za zaposlene (321) u iznosu od 17.600 eura, rashode za usluge (323) u iznosu od 11.700 eura, naknade troškova osobama izvan radnog odnosa (učenici, roditelji te vanjski suradnici) u iznosu od 1.570 eura, ostali rashodi (329) u iznosu od 2.050 eura. Financijski rashodi planirani su u iznosu od 30 eura. Rashodi za nabavu nefinancijske imovne planirani su unutar aktivnosti u iznosu od 4.000 eura za nabavu glazbene i uredskog namještaja za opremanje učionica.</w:t>
      </w:r>
    </w:p>
    <w:p w14:paraId="726C2034" w14:textId="6AA95C0B" w:rsidR="00EC55B7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>Unutar ove aktivnosti financira se Glazbeno obrazovanje koje je organizirano u tri razine:</w:t>
      </w:r>
    </w:p>
    <w:p w14:paraId="7E3CEFA7" w14:textId="77777777" w:rsidR="00EC55B7" w:rsidRPr="009C422E" w:rsidRDefault="00EC55B7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38140AE7" w14:textId="77777777" w:rsidR="00C662F3" w:rsidRDefault="00A979BB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  <w:r w:rsidRPr="009C422E">
        <w:rPr>
          <w:rFonts w:cstheme="minorHAnsi"/>
          <w:b w:val="0"/>
          <w:bCs/>
          <w:i/>
          <w:sz w:val="22"/>
        </w:rPr>
        <w:t>a) Osnovno glazbeno obrazovanje</w:t>
      </w:r>
      <w:r w:rsidRPr="009C422E">
        <w:rPr>
          <w:rFonts w:cstheme="minorHAnsi"/>
          <w:b w:val="0"/>
          <w:bCs/>
          <w:sz w:val="22"/>
        </w:rPr>
        <w:t xml:space="preserve"> </w:t>
      </w:r>
    </w:p>
    <w:p w14:paraId="75463029" w14:textId="2F1DC2BE" w:rsidR="00A979BB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 xml:space="preserve">Osnovna glazbena škola obuhvaća </w:t>
      </w:r>
      <w:r w:rsidRPr="009C422E">
        <w:rPr>
          <w:rFonts w:cstheme="minorHAnsi"/>
          <w:b w:val="0"/>
          <w:bCs/>
          <w:sz w:val="22"/>
        </w:rPr>
        <w:t>šest razreda</w:t>
      </w:r>
      <w:r w:rsidRPr="009C422E">
        <w:rPr>
          <w:rFonts w:cstheme="minorHAnsi"/>
          <w:b w:val="0"/>
          <w:sz w:val="22"/>
        </w:rPr>
        <w:t xml:space="preserve">, u pravilu za učenike osnovnoškolske dobi. Cilj osnovnog glazbenog obrazovanja je razvijanje </w:t>
      </w:r>
      <w:r w:rsidRPr="009C422E">
        <w:rPr>
          <w:rFonts w:cstheme="minorHAnsi"/>
          <w:b w:val="0"/>
          <w:bCs/>
          <w:sz w:val="22"/>
        </w:rPr>
        <w:t>glazbenih sposobnosti, slušnog i ritamskog osjećaja</w:t>
      </w:r>
      <w:r w:rsidRPr="009C422E">
        <w:rPr>
          <w:rFonts w:cstheme="minorHAnsi"/>
          <w:b w:val="0"/>
          <w:sz w:val="22"/>
        </w:rPr>
        <w:t xml:space="preserve">, stjecanje osnovnih </w:t>
      </w:r>
      <w:r w:rsidRPr="009C422E">
        <w:rPr>
          <w:rFonts w:cstheme="minorHAnsi"/>
          <w:b w:val="0"/>
          <w:bCs/>
          <w:sz w:val="22"/>
        </w:rPr>
        <w:t>tehničkih i teorijskih znanja</w:t>
      </w:r>
      <w:r w:rsidRPr="009C422E">
        <w:rPr>
          <w:rFonts w:cstheme="minorHAnsi"/>
          <w:b w:val="0"/>
          <w:sz w:val="22"/>
        </w:rPr>
        <w:t xml:space="preserve"> o glazbi, poticanje </w:t>
      </w:r>
      <w:r w:rsidRPr="009C422E">
        <w:rPr>
          <w:rFonts w:cstheme="minorHAnsi"/>
          <w:b w:val="0"/>
          <w:bCs/>
          <w:sz w:val="22"/>
        </w:rPr>
        <w:t>umjetničkog izražavanja i stvaralaštva</w:t>
      </w:r>
      <w:r w:rsidRPr="009C422E">
        <w:rPr>
          <w:rFonts w:cstheme="minorHAnsi"/>
          <w:b w:val="0"/>
          <w:sz w:val="22"/>
        </w:rPr>
        <w:t xml:space="preserve"> te priprema učenika za </w:t>
      </w:r>
      <w:r w:rsidR="009C422E">
        <w:rPr>
          <w:rFonts w:cstheme="minorHAnsi"/>
          <w:b w:val="0"/>
          <w:sz w:val="22"/>
        </w:rPr>
        <w:t xml:space="preserve">javne nastupe , natjecanja te </w:t>
      </w:r>
      <w:r w:rsidRPr="009C422E">
        <w:rPr>
          <w:rFonts w:cstheme="minorHAnsi"/>
          <w:b w:val="0"/>
          <w:sz w:val="22"/>
        </w:rPr>
        <w:t>nastavak obrazovanja na višoj razini.</w:t>
      </w:r>
      <w:r w:rsidRPr="009C422E">
        <w:rPr>
          <w:rFonts w:cstheme="minorHAnsi"/>
          <w:b w:val="0"/>
          <w:bCs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Nastava se provodi u obliku </w:t>
      </w:r>
      <w:r w:rsidRPr="009C422E">
        <w:rPr>
          <w:rFonts w:cstheme="minorHAnsi"/>
          <w:b w:val="0"/>
          <w:bCs/>
          <w:sz w:val="22"/>
        </w:rPr>
        <w:t>individualne i skupne nastave</w:t>
      </w:r>
      <w:r w:rsidRPr="009C422E">
        <w:rPr>
          <w:rFonts w:cstheme="minorHAnsi"/>
          <w:b w:val="0"/>
          <w:sz w:val="22"/>
        </w:rPr>
        <w:t>, kroz glavni predmet (instrument ili solo pjevanje), solfeggio, orkestar, zbor, komornu glazbu i druge oblike prema programu škole.</w:t>
      </w:r>
    </w:p>
    <w:p w14:paraId="23C4C718" w14:textId="77777777" w:rsidR="00C662F3" w:rsidRPr="009C422E" w:rsidRDefault="00C662F3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</w:p>
    <w:p w14:paraId="3A7809FE" w14:textId="77777777" w:rsidR="00C662F3" w:rsidRDefault="00A979BB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  <w:r w:rsidRPr="009C422E">
        <w:rPr>
          <w:rFonts w:cstheme="minorHAnsi"/>
          <w:b w:val="0"/>
          <w:bCs/>
          <w:i/>
          <w:sz w:val="22"/>
        </w:rPr>
        <w:t>b) Pripremni razredi</w:t>
      </w:r>
      <w:r w:rsidRPr="009C422E">
        <w:rPr>
          <w:rFonts w:cstheme="minorHAnsi"/>
          <w:b w:val="0"/>
          <w:bCs/>
          <w:sz w:val="22"/>
        </w:rPr>
        <w:t xml:space="preserve"> za srednju glazbenu školu</w:t>
      </w:r>
      <w:r w:rsidR="002868AA" w:rsidRPr="009C422E">
        <w:rPr>
          <w:rFonts w:cstheme="minorHAnsi"/>
          <w:b w:val="0"/>
          <w:bCs/>
          <w:sz w:val="22"/>
        </w:rPr>
        <w:t xml:space="preserve"> </w:t>
      </w:r>
    </w:p>
    <w:p w14:paraId="1B7CDB81" w14:textId="462BB2B6" w:rsidR="00A979BB" w:rsidRDefault="002868AA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bCs/>
          <w:sz w:val="22"/>
        </w:rPr>
        <w:t xml:space="preserve">Obrazovanje </w:t>
      </w:r>
      <w:r w:rsidRPr="009C422E">
        <w:rPr>
          <w:rFonts w:cstheme="minorHAnsi"/>
          <w:b w:val="0"/>
          <w:sz w:val="22"/>
        </w:rPr>
        <w:t>traje</w:t>
      </w:r>
      <w:r w:rsidR="00A979BB" w:rsidRPr="009C422E">
        <w:rPr>
          <w:rFonts w:cstheme="minorHAnsi"/>
          <w:b w:val="0"/>
          <w:sz w:val="22"/>
        </w:rPr>
        <w:t xml:space="preserve"> </w:t>
      </w:r>
      <w:r w:rsidR="00A979BB" w:rsidRPr="009C422E">
        <w:rPr>
          <w:rFonts w:cstheme="minorHAnsi"/>
          <w:b w:val="0"/>
          <w:bCs/>
          <w:sz w:val="22"/>
        </w:rPr>
        <w:t>dvije godine</w:t>
      </w:r>
      <w:r w:rsidR="00A979BB" w:rsidRPr="009C422E">
        <w:rPr>
          <w:rFonts w:cstheme="minorHAnsi"/>
          <w:b w:val="0"/>
          <w:sz w:val="22"/>
        </w:rPr>
        <w:t xml:space="preserve"> i namijenjen je učenicima koji žele nastaviti obrazovanje u </w:t>
      </w:r>
      <w:r w:rsidR="00A979BB" w:rsidRPr="009C422E">
        <w:rPr>
          <w:rFonts w:cstheme="minorHAnsi"/>
          <w:b w:val="0"/>
          <w:bCs/>
          <w:sz w:val="22"/>
        </w:rPr>
        <w:t>srednjoj glazbenoj školi</w:t>
      </w:r>
      <w:r w:rsidR="009C422E">
        <w:rPr>
          <w:rFonts w:cstheme="minorHAnsi"/>
          <w:b w:val="0"/>
          <w:bCs/>
          <w:sz w:val="22"/>
        </w:rPr>
        <w:t xml:space="preserve"> a nisu završili osnovno glazbeno obrazovanje</w:t>
      </w:r>
      <w:r w:rsidR="00A979BB" w:rsidRPr="009C422E">
        <w:rPr>
          <w:rFonts w:cstheme="minorHAnsi"/>
          <w:b w:val="0"/>
          <w:sz w:val="22"/>
        </w:rPr>
        <w:t xml:space="preserve">. Cilj pripremnih razreda je </w:t>
      </w:r>
      <w:r w:rsidR="009C422E">
        <w:rPr>
          <w:rFonts w:cstheme="minorHAnsi"/>
          <w:b w:val="0"/>
          <w:bCs/>
          <w:sz w:val="22"/>
        </w:rPr>
        <w:t>usvajanje</w:t>
      </w:r>
      <w:r w:rsidR="00A979BB" w:rsidRPr="009C422E">
        <w:rPr>
          <w:rFonts w:cstheme="minorHAnsi"/>
          <w:b w:val="0"/>
          <w:bCs/>
          <w:sz w:val="22"/>
        </w:rPr>
        <w:t xml:space="preserve"> osnovnog glazbenog znanja i vještina</w:t>
      </w:r>
      <w:r w:rsidR="00A979BB" w:rsidRPr="009C422E">
        <w:rPr>
          <w:rFonts w:cstheme="minorHAnsi"/>
          <w:b w:val="0"/>
          <w:sz w:val="22"/>
        </w:rPr>
        <w:t xml:space="preserve">, </w:t>
      </w:r>
      <w:r w:rsidR="00A979BB" w:rsidRPr="009C422E">
        <w:rPr>
          <w:rFonts w:cstheme="minorHAnsi"/>
          <w:b w:val="0"/>
          <w:bCs/>
          <w:sz w:val="22"/>
        </w:rPr>
        <w:t>usmjeravanje učenika</w:t>
      </w:r>
      <w:r w:rsidR="00A979BB" w:rsidRPr="009C422E">
        <w:rPr>
          <w:rFonts w:cstheme="minorHAnsi"/>
          <w:b w:val="0"/>
          <w:sz w:val="22"/>
        </w:rPr>
        <w:t xml:space="preserve"> prema izboru smjera i instrumenta u srednjoj školi, te </w:t>
      </w:r>
      <w:r w:rsidR="00A979BB" w:rsidRPr="009C422E">
        <w:rPr>
          <w:rFonts w:cstheme="minorHAnsi"/>
          <w:b w:val="0"/>
          <w:bCs/>
          <w:sz w:val="22"/>
        </w:rPr>
        <w:t>priprema za</w:t>
      </w:r>
      <w:r w:rsidR="00A979BB" w:rsidRPr="009C422E">
        <w:rPr>
          <w:rFonts w:cstheme="minorHAnsi"/>
          <w:b w:val="0"/>
          <w:sz w:val="22"/>
        </w:rPr>
        <w:t xml:space="preserve"> nastavak obrazovanja.</w:t>
      </w:r>
      <w:r w:rsidR="00A979BB" w:rsidRPr="009C422E">
        <w:rPr>
          <w:rFonts w:cstheme="minorHAnsi"/>
          <w:b w:val="0"/>
          <w:bCs/>
          <w:sz w:val="22"/>
        </w:rPr>
        <w:t xml:space="preserve"> </w:t>
      </w:r>
      <w:r w:rsidR="00A979BB" w:rsidRPr="009C422E">
        <w:rPr>
          <w:rFonts w:cstheme="minorHAnsi"/>
          <w:b w:val="0"/>
          <w:sz w:val="22"/>
        </w:rPr>
        <w:t xml:space="preserve">Program uključuje predmete poput glavnog </w:t>
      </w:r>
      <w:r w:rsidR="00A979BB" w:rsidRPr="009C422E">
        <w:rPr>
          <w:rFonts w:cstheme="minorHAnsi"/>
          <w:b w:val="0"/>
          <w:sz w:val="22"/>
        </w:rPr>
        <w:lastRenderedPageBreak/>
        <w:t>instrumenta, solfeggia</w:t>
      </w:r>
      <w:r w:rsidR="009C422E">
        <w:rPr>
          <w:rFonts w:cstheme="minorHAnsi"/>
          <w:b w:val="0"/>
          <w:sz w:val="22"/>
        </w:rPr>
        <w:t xml:space="preserve"> </w:t>
      </w:r>
      <w:r w:rsidR="00A979BB" w:rsidRPr="009C422E">
        <w:rPr>
          <w:rFonts w:cstheme="minorHAnsi"/>
          <w:b w:val="0"/>
          <w:sz w:val="22"/>
        </w:rPr>
        <w:t>a izvodi se prema propisanim nastavnim planovima i programima Ministarstva znanosti, obrazovanja i mladih.</w:t>
      </w:r>
    </w:p>
    <w:p w14:paraId="1573C9CF" w14:textId="77777777" w:rsidR="00C662F3" w:rsidRPr="009C422E" w:rsidRDefault="00C662F3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</w:p>
    <w:p w14:paraId="61A6276C" w14:textId="77777777" w:rsidR="00C662F3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bCs/>
          <w:i/>
          <w:sz w:val="22"/>
        </w:rPr>
        <w:t>c) Srednjoškolsko glazbeno obrazovanje</w:t>
      </w:r>
      <w:r w:rsidRPr="009C422E">
        <w:rPr>
          <w:rFonts w:cstheme="minorHAnsi"/>
          <w:b w:val="0"/>
          <w:bCs/>
          <w:sz w:val="22"/>
        </w:rPr>
        <w:t xml:space="preserve"> </w:t>
      </w:r>
    </w:p>
    <w:p w14:paraId="35215D5D" w14:textId="581C5B82" w:rsidR="00A979BB" w:rsidRDefault="00C662F3" w:rsidP="00B9131F">
      <w:pPr>
        <w:spacing w:line="360" w:lineRule="auto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Srednjoškolsko obrazovanje t</w:t>
      </w:r>
      <w:r w:rsidR="00A979BB" w:rsidRPr="009C422E">
        <w:rPr>
          <w:rFonts w:cstheme="minorHAnsi"/>
          <w:b w:val="0"/>
          <w:sz w:val="22"/>
        </w:rPr>
        <w:t xml:space="preserve">raje </w:t>
      </w:r>
      <w:r w:rsidR="00A979BB" w:rsidRPr="009C422E">
        <w:rPr>
          <w:rFonts w:cstheme="minorHAnsi"/>
          <w:b w:val="0"/>
          <w:bCs/>
          <w:sz w:val="22"/>
        </w:rPr>
        <w:t>četiri godine</w:t>
      </w:r>
      <w:r w:rsidR="00A979BB" w:rsidRPr="009C422E">
        <w:rPr>
          <w:rFonts w:cstheme="minorHAnsi"/>
          <w:b w:val="0"/>
          <w:sz w:val="22"/>
        </w:rPr>
        <w:t xml:space="preserve"> i osigurava stjecanje </w:t>
      </w:r>
      <w:r w:rsidR="00A979BB" w:rsidRPr="009C422E">
        <w:rPr>
          <w:rFonts w:cstheme="minorHAnsi"/>
          <w:b w:val="0"/>
          <w:bCs/>
          <w:sz w:val="22"/>
        </w:rPr>
        <w:t>srednje stručne spreme u području glazbe</w:t>
      </w:r>
      <w:r w:rsidR="00A979BB" w:rsidRPr="009C422E">
        <w:rPr>
          <w:rFonts w:cstheme="minorHAnsi"/>
          <w:b w:val="0"/>
          <w:sz w:val="22"/>
        </w:rPr>
        <w:t xml:space="preserve"> a cilj im je razvijanje visoke razine </w:t>
      </w:r>
      <w:r w:rsidR="00A979BB" w:rsidRPr="009C422E">
        <w:rPr>
          <w:rFonts w:cstheme="minorHAnsi"/>
          <w:b w:val="0"/>
          <w:bCs/>
          <w:sz w:val="22"/>
        </w:rPr>
        <w:t>umjetničkih, tehničkih i interpretativnih sposobnosti</w:t>
      </w:r>
      <w:r w:rsidR="00A979BB" w:rsidRPr="009C422E">
        <w:rPr>
          <w:rFonts w:cstheme="minorHAnsi"/>
          <w:b w:val="0"/>
          <w:sz w:val="22"/>
        </w:rPr>
        <w:t xml:space="preserve">, stjecanje </w:t>
      </w:r>
      <w:r w:rsidR="00A979BB" w:rsidRPr="009C422E">
        <w:rPr>
          <w:rFonts w:cstheme="minorHAnsi"/>
          <w:b w:val="0"/>
          <w:bCs/>
          <w:sz w:val="22"/>
        </w:rPr>
        <w:t>stručnih znanja iz područja glazbene teorije, povijesti i prakse</w:t>
      </w:r>
      <w:r w:rsidR="00A979BB" w:rsidRPr="009C422E">
        <w:rPr>
          <w:rFonts w:cstheme="minorHAnsi"/>
          <w:b w:val="0"/>
          <w:sz w:val="22"/>
        </w:rPr>
        <w:t xml:space="preserve">, priprema učenika za </w:t>
      </w:r>
      <w:r w:rsidR="00A979BB" w:rsidRPr="009C422E">
        <w:rPr>
          <w:rFonts w:cstheme="minorHAnsi"/>
          <w:b w:val="0"/>
          <w:bCs/>
          <w:sz w:val="22"/>
        </w:rPr>
        <w:t>daljnje obrazovanje na glazbenim akademijama</w:t>
      </w:r>
      <w:r w:rsidR="00A979BB" w:rsidRPr="009C422E">
        <w:rPr>
          <w:rFonts w:cstheme="minorHAnsi"/>
          <w:b w:val="0"/>
          <w:sz w:val="22"/>
        </w:rPr>
        <w:t xml:space="preserve"> ili za </w:t>
      </w:r>
      <w:r w:rsidR="00A979BB" w:rsidRPr="009C422E">
        <w:rPr>
          <w:rFonts w:cstheme="minorHAnsi"/>
          <w:b w:val="0"/>
          <w:bCs/>
          <w:sz w:val="22"/>
        </w:rPr>
        <w:t>samostalno umjetničko djelovanje</w:t>
      </w:r>
      <w:r w:rsidR="00A979BB" w:rsidRPr="009C422E">
        <w:rPr>
          <w:rFonts w:cstheme="minorHAnsi"/>
          <w:b w:val="0"/>
          <w:sz w:val="22"/>
        </w:rPr>
        <w:t>.</w:t>
      </w:r>
      <w:r w:rsidR="002868AA" w:rsidRPr="009C422E">
        <w:rPr>
          <w:rFonts w:cstheme="minorHAnsi"/>
          <w:b w:val="0"/>
          <w:bCs/>
          <w:sz w:val="22"/>
        </w:rPr>
        <w:t xml:space="preserve"> </w:t>
      </w:r>
      <w:r w:rsidR="00A979BB" w:rsidRPr="009C422E">
        <w:rPr>
          <w:rFonts w:cstheme="minorHAnsi"/>
          <w:b w:val="0"/>
          <w:sz w:val="22"/>
        </w:rPr>
        <w:t>Nastava se izvodi</w:t>
      </w:r>
      <w:r w:rsidR="00B9131F">
        <w:rPr>
          <w:rFonts w:cstheme="minorHAnsi"/>
          <w:b w:val="0"/>
          <w:sz w:val="22"/>
        </w:rPr>
        <w:t xml:space="preserve"> u skladu s važećim kurikulumom</w:t>
      </w:r>
      <w:bookmarkStart w:id="0" w:name="_GoBack"/>
      <w:bookmarkEnd w:id="0"/>
      <w:r w:rsidR="00A979BB" w:rsidRPr="009C422E">
        <w:rPr>
          <w:rFonts w:cstheme="minorHAnsi"/>
          <w:b w:val="0"/>
          <w:sz w:val="22"/>
        </w:rPr>
        <w:t xml:space="preserve"> te uključuje redovitu nastavu, javne nastupe, koncerte, natjecanja i suradnju s kulturnim institucijama.</w:t>
      </w:r>
    </w:p>
    <w:p w14:paraId="157484F2" w14:textId="77777777" w:rsidR="00D37040" w:rsidRPr="009C422E" w:rsidRDefault="00D37040" w:rsidP="00B9131F">
      <w:pPr>
        <w:spacing w:line="360" w:lineRule="auto"/>
        <w:jc w:val="both"/>
        <w:rPr>
          <w:rFonts w:cstheme="minorHAnsi"/>
          <w:b w:val="0"/>
          <w:bCs/>
          <w:sz w:val="22"/>
        </w:rPr>
      </w:pPr>
    </w:p>
    <w:p w14:paraId="598F428A" w14:textId="0D09CFC4" w:rsidR="00D37040" w:rsidRPr="00AD79D8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bCs/>
          <w:sz w:val="22"/>
        </w:rPr>
        <w:t xml:space="preserve">Ciljevi i ishodi glazbenog obrazovanja je </w:t>
      </w:r>
      <w:r w:rsidRPr="009C422E">
        <w:rPr>
          <w:rFonts w:cstheme="minorHAnsi"/>
          <w:b w:val="0"/>
          <w:sz w:val="22"/>
        </w:rPr>
        <w:t xml:space="preserve">razvijanje </w:t>
      </w:r>
      <w:r w:rsidRPr="009C422E">
        <w:rPr>
          <w:rFonts w:cstheme="minorHAnsi"/>
          <w:b w:val="0"/>
          <w:bCs/>
          <w:sz w:val="22"/>
        </w:rPr>
        <w:t>glazbene pismenosti, sluha, ritma i estetskog senzibiliteta</w:t>
      </w:r>
      <w:r w:rsidRPr="009C422E">
        <w:rPr>
          <w:rFonts w:cstheme="minorHAnsi"/>
          <w:b w:val="0"/>
          <w:sz w:val="22"/>
        </w:rPr>
        <w:t xml:space="preserve">, njegovanje </w:t>
      </w:r>
      <w:r w:rsidRPr="009C422E">
        <w:rPr>
          <w:rFonts w:cstheme="minorHAnsi"/>
          <w:b w:val="0"/>
          <w:bCs/>
          <w:sz w:val="22"/>
        </w:rPr>
        <w:t>umjetničkog izraza, discipline, odgovornosti i timskog rada</w:t>
      </w:r>
      <w:r w:rsidRPr="009C422E">
        <w:rPr>
          <w:rFonts w:cstheme="minorHAnsi"/>
          <w:b w:val="0"/>
          <w:sz w:val="22"/>
        </w:rPr>
        <w:t xml:space="preserve">, stjecanje </w:t>
      </w:r>
      <w:r w:rsidRPr="009C422E">
        <w:rPr>
          <w:rFonts w:cstheme="minorHAnsi"/>
          <w:b w:val="0"/>
          <w:bCs/>
          <w:sz w:val="22"/>
        </w:rPr>
        <w:t>teorijskih i praktičnih znanja</w:t>
      </w:r>
      <w:r w:rsidRPr="009C422E">
        <w:rPr>
          <w:rFonts w:cstheme="minorHAnsi"/>
          <w:b w:val="0"/>
          <w:sz w:val="22"/>
        </w:rPr>
        <w:t xml:space="preserve"> potrebnih za daljnje obrazovan</w:t>
      </w:r>
      <w:r w:rsidR="00984BE9">
        <w:rPr>
          <w:rFonts w:cstheme="minorHAnsi"/>
          <w:b w:val="0"/>
          <w:sz w:val="22"/>
        </w:rPr>
        <w:t>je ili profesionalno djelovanje,</w:t>
      </w:r>
      <w:r w:rsidR="00984BE9">
        <w:rPr>
          <w:rFonts w:cstheme="minorHAnsi"/>
          <w:b w:val="0"/>
          <w:bCs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povezivanje glazbenog obrazovanja s </w:t>
      </w:r>
      <w:r w:rsidRPr="009C422E">
        <w:rPr>
          <w:rFonts w:cstheme="minorHAnsi"/>
          <w:b w:val="0"/>
          <w:bCs/>
          <w:sz w:val="22"/>
        </w:rPr>
        <w:t>kulturnim i društvenim životom zajednice</w:t>
      </w:r>
      <w:r w:rsidRPr="009C422E">
        <w:rPr>
          <w:rFonts w:cstheme="minorHAnsi"/>
          <w:b w:val="0"/>
          <w:sz w:val="22"/>
        </w:rPr>
        <w:t xml:space="preserve">, poticanje učenika na </w:t>
      </w:r>
      <w:r w:rsidRPr="009C422E">
        <w:rPr>
          <w:rFonts w:cstheme="minorHAnsi"/>
          <w:b w:val="0"/>
          <w:bCs/>
          <w:sz w:val="22"/>
        </w:rPr>
        <w:t>cjeloživotno učenje i umjetničko stvaralaštvo</w:t>
      </w:r>
      <w:r w:rsidRPr="009C422E">
        <w:rPr>
          <w:rFonts w:cstheme="minorHAnsi"/>
          <w:b w:val="0"/>
          <w:sz w:val="22"/>
        </w:rPr>
        <w:t>.</w:t>
      </w:r>
    </w:p>
    <w:p w14:paraId="411978B0" w14:textId="00C2B49D" w:rsidR="00A979BB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bCs/>
          <w:sz w:val="22"/>
        </w:rPr>
        <w:t>Pokazatelji uspješnosti</w:t>
      </w:r>
      <w:r w:rsidR="00984BE9">
        <w:rPr>
          <w:rFonts w:cstheme="minorHAnsi"/>
          <w:b w:val="0"/>
          <w:bCs/>
          <w:sz w:val="22"/>
        </w:rPr>
        <w:t xml:space="preserve"> su</w:t>
      </w:r>
      <w:r w:rsidRPr="009C422E">
        <w:rPr>
          <w:rFonts w:cstheme="minorHAnsi"/>
          <w:b w:val="0"/>
          <w:bCs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redovita provedba nastavnih planova i </w:t>
      </w:r>
      <w:r w:rsidR="00984BE9">
        <w:rPr>
          <w:rFonts w:cstheme="minorHAnsi"/>
          <w:b w:val="0"/>
          <w:sz w:val="22"/>
        </w:rPr>
        <w:t>programa prema propisima MZOM-a, u</w:t>
      </w:r>
      <w:r w:rsidRPr="009C422E">
        <w:rPr>
          <w:rFonts w:cstheme="minorHAnsi"/>
          <w:b w:val="0"/>
          <w:sz w:val="22"/>
        </w:rPr>
        <w:t xml:space="preserve">spješnost učenika na </w:t>
      </w:r>
      <w:r w:rsidRPr="009C422E">
        <w:rPr>
          <w:rFonts w:cstheme="minorHAnsi"/>
          <w:b w:val="0"/>
          <w:bCs/>
          <w:sz w:val="22"/>
        </w:rPr>
        <w:t>internim i javnim nastupima, produkcijama i natjecanjima</w:t>
      </w:r>
      <w:r w:rsidR="00984BE9">
        <w:rPr>
          <w:rFonts w:cstheme="minorHAnsi"/>
          <w:b w:val="0"/>
          <w:sz w:val="22"/>
        </w:rPr>
        <w:t xml:space="preserve"> uz k</w:t>
      </w:r>
      <w:r w:rsidRPr="009C422E">
        <w:rPr>
          <w:rFonts w:cstheme="minorHAnsi"/>
          <w:b w:val="0"/>
          <w:sz w:val="22"/>
        </w:rPr>
        <w:t xml:space="preserve">ontinuirano stručno usavršavanje nastavnika i </w:t>
      </w:r>
      <w:r w:rsidR="00984BE9">
        <w:rPr>
          <w:rFonts w:cstheme="minorHAnsi"/>
          <w:b w:val="0"/>
          <w:sz w:val="22"/>
        </w:rPr>
        <w:t xml:space="preserve">sustavno </w:t>
      </w:r>
      <w:r w:rsidRPr="009C422E">
        <w:rPr>
          <w:rFonts w:cstheme="minorHAnsi"/>
          <w:b w:val="0"/>
          <w:sz w:val="22"/>
        </w:rPr>
        <w:t xml:space="preserve">praćenje </w:t>
      </w:r>
      <w:r w:rsidR="00984BE9">
        <w:rPr>
          <w:rFonts w:cstheme="minorHAnsi"/>
          <w:b w:val="0"/>
          <w:sz w:val="22"/>
        </w:rPr>
        <w:t>pedagoških pristupa te s</w:t>
      </w:r>
      <w:r w:rsidRPr="009C422E">
        <w:rPr>
          <w:rFonts w:cstheme="minorHAnsi"/>
          <w:b w:val="0"/>
          <w:sz w:val="22"/>
        </w:rPr>
        <w:t>uradnja škole s kulturnim i obrazovnim insti</w:t>
      </w:r>
      <w:r w:rsidR="00984BE9">
        <w:rPr>
          <w:rFonts w:cstheme="minorHAnsi"/>
          <w:b w:val="0"/>
          <w:sz w:val="22"/>
        </w:rPr>
        <w:t>tucijama, p</w:t>
      </w:r>
      <w:r w:rsidRPr="009C422E">
        <w:rPr>
          <w:rFonts w:cstheme="minorHAnsi"/>
          <w:b w:val="0"/>
          <w:sz w:val="22"/>
        </w:rPr>
        <w:t>ozitivna percepcija i prepoznatljivost škole u lokalnoj zajednici.</w:t>
      </w:r>
    </w:p>
    <w:p w14:paraId="0CDCE825" w14:textId="53DBD439" w:rsidR="00A979BB" w:rsidRPr="009C422E" w:rsidRDefault="00A979BB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184C0D66" w14:textId="4ABF13E0" w:rsidR="006C50CC" w:rsidRPr="009C422E" w:rsidRDefault="00CD7BF9" w:rsidP="00B9131F">
      <w:pPr>
        <w:spacing w:line="360" w:lineRule="auto"/>
        <w:jc w:val="both"/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</w:pPr>
      <w:r w:rsidRPr="009C422E">
        <w:rPr>
          <w:rFonts w:asciiTheme="majorHAnsi" w:hAnsiTheme="majorHAnsi" w:cstheme="majorHAnsi"/>
          <w:b w:val="0"/>
          <w:color w:val="323E4F" w:themeColor="text2" w:themeShade="BF"/>
          <w:sz w:val="24"/>
          <w:szCs w:val="24"/>
        </w:rPr>
        <w:t xml:space="preserve">AKTIVNOST A320303 RASHODI IZNAD ZAKONSKOG STANDARDA </w:t>
      </w:r>
    </w:p>
    <w:p w14:paraId="1859822E" w14:textId="6DB57D6C" w:rsidR="00A41FC7" w:rsidRPr="009C422E" w:rsidRDefault="006C50CC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 xml:space="preserve">Rashodi unutar ove Aktivnosti planirani su u iznosu od 1.470.150 eura. Najvećim dijelom odnose se na rashode za zaposlene financirane iz prihoda drugih proračuna unutar općeg proračuna u iznosu od 1.332.950 eura. Rashodi financirani iz nadležnog gradskog proračuna unutar općih prihoda i primitaka planirani su u iznosu od 22.300 eura. Odnose </w:t>
      </w:r>
      <w:r w:rsidR="00D37040">
        <w:rPr>
          <w:rFonts w:cstheme="minorHAnsi"/>
          <w:b w:val="0"/>
          <w:sz w:val="22"/>
        </w:rPr>
        <w:t xml:space="preserve">se </w:t>
      </w:r>
      <w:r w:rsidRPr="009C422E">
        <w:rPr>
          <w:rFonts w:cstheme="minorHAnsi"/>
          <w:b w:val="0"/>
          <w:sz w:val="22"/>
        </w:rPr>
        <w:t xml:space="preserve">najvećim dijelom na rashode za sanaciju unutarnje školske dvorane te </w:t>
      </w:r>
      <w:r w:rsidR="00D37040">
        <w:rPr>
          <w:rFonts w:cstheme="minorHAnsi"/>
          <w:b w:val="0"/>
          <w:sz w:val="22"/>
        </w:rPr>
        <w:t xml:space="preserve">za financiranje </w:t>
      </w:r>
      <w:r w:rsidRPr="009C422E">
        <w:rPr>
          <w:rFonts w:cstheme="minorHAnsi"/>
          <w:b w:val="0"/>
          <w:sz w:val="22"/>
        </w:rPr>
        <w:t>ostalih materijalnih rasho</w:t>
      </w:r>
      <w:r w:rsidR="002868AA" w:rsidRPr="009C422E">
        <w:rPr>
          <w:rFonts w:cstheme="minorHAnsi"/>
          <w:b w:val="0"/>
          <w:sz w:val="22"/>
        </w:rPr>
        <w:t xml:space="preserve">da za redovno održavanje škole. </w:t>
      </w:r>
      <w:r w:rsidRPr="009C422E">
        <w:rPr>
          <w:rFonts w:cstheme="minorHAnsi"/>
          <w:b w:val="0"/>
          <w:sz w:val="22"/>
        </w:rPr>
        <w:t>Unutar aktivnosti izvori financiranja 310009 i 430009 odnose se na vlastite prihode (prihode od iznajmljivanja glazbenih instrumenata) u iznosu od 14.500 eura i prihode po posebnim propisima (participacija za učenike) u iznosu od 44.000 eura</w:t>
      </w:r>
      <w:r w:rsidR="00D37040">
        <w:rPr>
          <w:rFonts w:cstheme="minorHAnsi"/>
          <w:b w:val="0"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>za</w:t>
      </w:r>
      <w:r w:rsidR="00D37040">
        <w:rPr>
          <w:rFonts w:cstheme="minorHAnsi"/>
          <w:b w:val="0"/>
          <w:sz w:val="22"/>
        </w:rPr>
        <w:t xml:space="preserve"> financiranje rashoda za</w:t>
      </w:r>
      <w:r w:rsidRPr="009C422E">
        <w:rPr>
          <w:rFonts w:cstheme="minorHAnsi"/>
          <w:b w:val="0"/>
          <w:sz w:val="22"/>
        </w:rPr>
        <w:t xml:space="preserve"> zaposlene, materijalne rashode i rashode za nabavu nefinancijske im</w:t>
      </w:r>
      <w:r w:rsidR="002868AA" w:rsidRPr="009C422E">
        <w:rPr>
          <w:rFonts w:cstheme="minorHAnsi"/>
          <w:b w:val="0"/>
          <w:sz w:val="22"/>
        </w:rPr>
        <w:t xml:space="preserve">ovine (glazbenih instrumenata). </w:t>
      </w:r>
      <w:r w:rsidRPr="009C422E">
        <w:rPr>
          <w:rFonts w:cstheme="minorHAnsi"/>
          <w:b w:val="0"/>
          <w:sz w:val="22"/>
        </w:rPr>
        <w:t>Izvor financiranja 52</w:t>
      </w:r>
      <w:r w:rsidR="00C662F3">
        <w:rPr>
          <w:rFonts w:cstheme="minorHAnsi"/>
          <w:b w:val="0"/>
          <w:sz w:val="22"/>
        </w:rPr>
        <w:t xml:space="preserve">0009 ostale pomoći odnosi se najvećim dijelom na </w:t>
      </w:r>
      <w:r w:rsidRPr="009C422E">
        <w:rPr>
          <w:rFonts w:cstheme="minorHAnsi"/>
          <w:b w:val="0"/>
          <w:sz w:val="22"/>
        </w:rPr>
        <w:t>rashode za prijevoz djelatnika na posao i s posla financiranih iz proračuna Koprivničko-Kri</w:t>
      </w:r>
      <w:r w:rsidR="00C662F3">
        <w:rPr>
          <w:rFonts w:cstheme="minorHAnsi"/>
          <w:b w:val="0"/>
          <w:sz w:val="22"/>
        </w:rPr>
        <w:t>ževačke županije.</w:t>
      </w:r>
    </w:p>
    <w:p w14:paraId="7FE07A1C" w14:textId="6CB4A5C9" w:rsidR="00A41FC7" w:rsidRPr="009C422E" w:rsidRDefault="006C50CC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 xml:space="preserve">Planirana sredstva unutar ove aktivnosti osiguravaju neometano djelovanje Glazbene škole Križevci u svim segmentima njezina rada, financiranje </w:t>
      </w:r>
      <w:r w:rsidR="00984BE9">
        <w:rPr>
          <w:rFonts w:cstheme="minorHAnsi"/>
          <w:b w:val="0"/>
          <w:sz w:val="22"/>
        </w:rPr>
        <w:t xml:space="preserve">redovnog rada </w:t>
      </w:r>
      <w:r w:rsidRPr="009C422E">
        <w:rPr>
          <w:rFonts w:cstheme="minorHAnsi"/>
          <w:b w:val="0"/>
          <w:sz w:val="22"/>
        </w:rPr>
        <w:t>zaposlenika, održavanje nastavnog i radnog</w:t>
      </w:r>
      <w:r w:rsidR="00AD79D8">
        <w:rPr>
          <w:rFonts w:cstheme="minorHAnsi"/>
          <w:b w:val="0"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lastRenderedPageBreak/>
        <w:t>prostora u skladu s pedagoškim standardima te stvaranje poticajnih uvjeta za učenike i nastavnike u cilju postizanja visoke razine kvalitete glazbenog obrazovanja.</w:t>
      </w:r>
    </w:p>
    <w:p w14:paraId="01AC2AB8" w14:textId="3FDA3746" w:rsidR="00984BE9" w:rsidRDefault="00984BE9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p w14:paraId="201F4788" w14:textId="19CD7633" w:rsidR="001673E7" w:rsidRPr="001F49DE" w:rsidRDefault="001673E7" w:rsidP="00B9131F">
      <w:pPr>
        <w:pStyle w:val="Naslov3"/>
        <w:spacing w:line="360" w:lineRule="auto"/>
        <w:jc w:val="both"/>
        <w:rPr>
          <w:rFonts w:cstheme="majorHAnsi"/>
          <w:b w:val="0"/>
          <w:sz w:val="28"/>
          <w:szCs w:val="28"/>
          <w:u w:val="none"/>
        </w:rPr>
      </w:pPr>
      <w:r w:rsidRPr="001F49DE">
        <w:rPr>
          <w:rFonts w:cstheme="majorHAnsi"/>
          <w:b w:val="0"/>
          <w:sz w:val="28"/>
          <w:szCs w:val="28"/>
          <w:u w:val="none"/>
        </w:rPr>
        <w:t>POSTAVLJENI CILJEVI</w:t>
      </w:r>
      <w:r w:rsidR="00AD79D8">
        <w:rPr>
          <w:rFonts w:cstheme="majorHAnsi"/>
          <w:b w:val="0"/>
          <w:sz w:val="28"/>
          <w:szCs w:val="28"/>
          <w:u w:val="none"/>
        </w:rPr>
        <w:t xml:space="preserve"> I</w:t>
      </w:r>
      <w:r w:rsidR="00086DD4" w:rsidRPr="001F49DE">
        <w:rPr>
          <w:rFonts w:cstheme="majorHAnsi"/>
          <w:b w:val="0"/>
          <w:sz w:val="28"/>
          <w:szCs w:val="28"/>
          <w:u w:val="none"/>
        </w:rPr>
        <w:t xml:space="preserve"> POKAZATELJI USPJEŠNOSTI</w:t>
      </w:r>
      <w:r w:rsidRPr="001F49DE">
        <w:rPr>
          <w:rFonts w:cstheme="majorHAnsi"/>
          <w:b w:val="0"/>
          <w:sz w:val="28"/>
          <w:szCs w:val="28"/>
          <w:u w:val="none"/>
        </w:rPr>
        <w:t xml:space="preserve"> </w:t>
      </w:r>
    </w:p>
    <w:p w14:paraId="411006F4" w14:textId="77777777" w:rsidR="00984BE9" w:rsidRPr="001F49DE" w:rsidRDefault="00984BE9" w:rsidP="00B9131F">
      <w:pPr>
        <w:jc w:val="both"/>
        <w:rPr>
          <w:rFonts w:asciiTheme="majorHAnsi" w:hAnsiTheme="majorHAnsi" w:cstheme="majorHAnsi"/>
          <w:b w:val="0"/>
          <w:color w:val="323E4F" w:themeColor="text2" w:themeShade="BF"/>
          <w:sz w:val="28"/>
          <w:szCs w:val="28"/>
        </w:rPr>
      </w:pPr>
    </w:p>
    <w:p w14:paraId="10B234E8" w14:textId="4DDA1B57" w:rsidR="007B6963" w:rsidRDefault="007B6963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 xml:space="preserve">Postavljeni ciljevi i programi glazbenog obrazovanja </w:t>
      </w:r>
      <w:r w:rsidRPr="009C422E">
        <w:rPr>
          <w:rFonts w:cstheme="minorHAnsi"/>
          <w:b w:val="0"/>
          <w:bCs/>
          <w:sz w:val="22"/>
        </w:rPr>
        <w:t>usklađeni su i razrađeni u Školskom kurikulumu te u Godišnjem planu i programu rada Glazbene škole Alberta Štrige Križevci</w:t>
      </w:r>
      <w:r w:rsidR="002868AA" w:rsidRPr="009C422E">
        <w:rPr>
          <w:rFonts w:cstheme="minorHAnsi"/>
          <w:b w:val="0"/>
          <w:sz w:val="22"/>
        </w:rPr>
        <w:t xml:space="preserve">. </w:t>
      </w:r>
      <w:r w:rsidRPr="009C422E">
        <w:rPr>
          <w:rFonts w:cstheme="minorHAnsi"/>
          <w:b w:val="0"/>
          <w:sz w:val="22"/>
        </w:rPr>
        <w:t xml:space="preserve">Program obuhvaća </w:t>
      </w:r>
      <w:r w:rsidRPr="009C422E">
        <w:rPr>
          <w:rFonts w:cstheme="minorHAnsi"/>
          <w:b w:val="0"/>
          <w:bCs/>
          <w:sz w:val="22"/>
        </w:rPr>
        <w:t>aktivnosti i projekte</w:t>
      </w:r>
      <w:r w:rsidRPr="009C422E">
        <w:rPr>
          <w:rFonts w:cstheme="minorHAnsi"/>
          <w:b w:val="0"/>
          <w:sz w:val="22"/>
        </w:rPr>
        <w:t xml:space="preserve"> koje provodi škola kao proračunski korisnik, a u nastavu je uključeno </w:t>
      </w:r>
      <w:r w:rsidRPr="009C422E">
        <w:rPr>
          <w:rFonts w:cstheme="minorHAnsi"/>
          <w:b w:val="0"/>
          <w:bCs/>
          <w:sz w:val="22"/>
        </w:rPr>
        <w:t>306 učenika</w:t>
      </w:r>
      <w:r w:rsidRPr="009C422E">
        <w:rPr>
          <w:rFonts w:cstheme="minorHAnsi"/>
          <w:b w:val="0"/>
          <w:sz w:val="22"/>
        </w:rPr>
        <w:t xml:space="preserve"> raspoređenih u </w:t>
      </w:r>
      <w:r w:rsidRPr="009C422E">
        <w:rPr>
          <w:rFonts w:cstheme="minorHAnsi"/>
          <w:b w:val="0"/>
          <w:bCs/>
          <w:sz w:val="22"/>
        </w:rPr>
        <w:t>30 odjela</w:t>
      </w:r>
      <w:r w:rsidRPr="009C422E">
        <w:rPr>
          <w:rFonts w:cstheme="minorHAnsi"/>
          <w:b w:val="0"/>
          <w:sz w:val="22"/>
        </w:rPr>
        <w:t xml:space="preserve">, koji pohađaju nastavu u </w:t>
      </w:r>
      <w:r w:rsidRPr="009C422E">
        <w:rPr>
          <w:rFonts w:cstheme="minorHAnsi"/>
          <w:b w:val="0"/>
          <w:bCs/>
          <w:sz w:val="22"/>
        </w:rPr>
        <w:t>jednoj školskoj zgradi</w:t>
      </w:r>
      <w:r w:rsidRPr="009C422E">
        <w:rPr>
          <w:rFonts w:cstheme="minorHAnsi"/>
          <w:b w:val="0"/>
          <w:sz w:val="22"/>
        </w:rPr>
        <w:t>.</w:t>
      </w:r>
      <w:r w:rsidR="002868AA" w:rsidRPr="009C422E">
        <w:rPr>
          <w:rFonts w:cstheme="minorHAnsi"/>
          <w:b w:val="0"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Redoviti rad škole financiran je </w:t>
      </w:r>
      <w:r w:rsidRPr="009C422E">
        <w:rPr>
          <w:rFonts w:cstheme="minorHAnsi"/>
          <w:b w:val="0"/>
          <w:bCs/>
          <w:sz w:val="22"/>
        </w:rPr>
        <w:t>sredstvima zakonskog standarda i sredstvima iznad zakonskog standarda</w:t>
      </w:r>
      <w:r w:rsidRPr="009C422E">
        <w:rPr>
          <w:rFonts w:cstheme="minorHAnsi"/>
          <w:b w:val="0"/>
          <w:sz w:val="22"/>
        </w:rPr>
        <w:t xml:space="preserve">, namijenjenima za </w:t>
      </w:r>
      <w:r w:rsidRPr="009C422E">
        <w:rPr>
          <w:rFonts w:cstheme="minorHAnsi"/>
          <w:b w:val="0"/>
          <w:bCs/>
          <w:sz w:val="22"/>
        </w:rPr>
        <w:t>materijalne i financijske rashode</w:t>
      </w:r>
      <w:r w:rsidRPr="009C422E">
        <w:rPr>
          <w:rFonts w:cstheme="minorHAnsi"/>
          <w:b w:val="0"/>
          <w:sz w:val="22"/>
        </w:rPr>
        <w:t xml:space="preserve"> te </w:t>
      </w:r>
      <w:r w:rsidRPr="009C422E">
        <w:rPr>
          <w:rFonts w:cstheme="minorHAnsi"/>
          <w:b w:val="0"/>
          <w:bCs/>
          <w:sz w:val="22"/>
        </w:rPr>
        <w:t>kapitalna ulaganja</w:t>
      </w:r>
      <w:r w:rsidRPr="009C422E">
        <w:rPr>
          <w:rFonts w:cstheme="minorHAnsi"/>
          <w:b w:val="0"/>
          <w:sz w:val="22"/>
        </w:rPr>
        <w:t xml:space="preserve"> s ciljem osiguranja optimalnih uvjeta za rad učenika i nastavnika.</w:t>
      </w:r>
    </w:p>
    <w:p w14:paraId="397AA98F" w14:textId="14A21D02" w:rsidR="00AD79D8" w:rsidRPr="00AD79D8" w:rsidRDefault="00AD79D8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AD79D8">
        <w:rPr>
          <w:rFonts w:cstheme="minorHAnsi"/>
          <w:b w:val="0"/>
          <w:sz w:val="22"/>
        </w:rPr>
        <w:t>U protekloj školskoj godini učenici Glazbene škole</w:t>
      </w:r>
      <w:r>
        <w:rPr>
          <w:rFonts w:cstheme="minorHAnsi"/>
          <w:b w:val="0"/>
          <w:sz w:val="22"/>
        </w:rPr>
        <w:t xml:space="preserve"> osvojili su na natjecanjima od </w:t>
      </w:r>
      <w:r w:rsidRPr="00AD79D8">
        <w:rPr>
          <w:rFonts w:cstheme="minorHAnsi"/>
          <w:b w:val="0"/>
          <w:sz w:val="22"/>
        </w:rPr>
        <w:t>regionalne do međunarodne razine 98 nagra</w:t>
      </w:r>
      <w:r>
        <w:rPr>
          <w:rFonts w:cstheme="minorHAnsi"/>
          <w:b w:val="0"/>
          <w:sz w:val="22"/>
        </w:rPr>
        <w:t xml:space="preserve">da, od toga 64 prve, 26 drugih, </w:t>
      </w:r>
      <w:r w:rsidRPr="00AD79D8">
        <w:rPr>
          <w:rFonts w:cstheme="minorHAnsi"/>
          <w:b w:val="0"/>
          <w:sz w:val="22"/>
        </w:rPr>
        <w:t>3 treće, 3 priznanja i dvije posebne nagrade.</w:t>
      </w:r>
      <w:r>
        <w:t xml:space="preserve"> </w:t>
      </w:r>
      <w:r w:rsidRPr="00AD79D8">
        <w:rPr>
          <w:rFonts w:cstheme="minorHAnsi"/>
          <w:b w:val="0"/>
          <w:sz w:val="22"/>
        </w:rPr>
        <w:t>Kroz dodatne programe javne nastupe, koncerte, smotre i natjecanja, učenici razvijaju samopouzdanje i sigurnost u javnim izvedbama, proširuju sposobnost umjetničke percepcije i interpretacije, stječu iskustvo timskog rada, te razvijaju odgovornost i svijest o važnosti kulturnog stvaralaštva.</w:t>
      </w:r>
    </w:p>
    <w:p w14:paraId="3CFFCD6C" w14:textId="3D7488F7" w:rsidR="00AD79D8" w:rsidRDefault="007B6963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9C422E">
        <w:rPr>
          <w:rFonts w:cstheme="minorHAnsi"/>
          <w:b w:val="0"/>
          <w:sz w:val="22"/>
        </w:rPr>
        <w:t xml:space="preserve">Temeljni ciljevi glazbenog obrazovanja u školi jesu poticanje </w:t>
      </w:r>
      <w:r w:rsidRPr="009C422E">
        <w:rPr>
          <w:rFonts w:cstheme="minorHAnsi"/>
          <w:b w:val="0"/>
          <w:bCs/>
          <w:sz w:val="22"/>
        </w:rPr>
        <w:t>umjetničkog, stvaralačkog i osobnog razvoja učenika</w:t>
      </w:r>
      <w:r w:rsidRPr="009C422E">
        <w:rPr>
          <w:rFonts w:cstheme="minorHAnsi"/>
          <w:b w:val="0"/>
          <w:sz w:val="22"/>
        </w:rPr>
        <w:t xml:space="preserve">, stjecanje </w:t>
      </w:r>
      <w:r w:rsidRPr="009C422E">
        <w:rPr>
          <w:rFonts w:cstheme="minorHAnsi"/>
          <w:b w:val="0"/>
          <w:bCs/>
          <w:sz w:val="22"/>
        </w:rPr>
        <w:t>glazbene pismenosti i tehničkih vještina</w:t>
      </w:r>
      <w:r w:rsidRPr="009C422E">
        <w:rPr>
          <w:rFonts w:cstheme="minorHAnsi"/>
          <w:b w:val="0"/>
          <w:sz w:val="22"/>
        </w:rPr>
        <w:t xml:space="preserve"> potrebnih za daljnje obrazovanje,</w:t>
      </w:r>
      <w:r w:rsidR="00C662F3">
        <w:rPr>
          <w:rFonts w:cstheme="minorHAnsi"/>
          <w:b w:val="0"/>
          <w:sz w:val="22"/>
        </w:rPr>
        <w:t xml:space="preserve"> </w:t>
      </w:r>
      <w:r w:rsidRPr="009C422E">
        <w:rPr>
          <w:rFonts w:cstheme="minorHAnsi"/>
          <w:b w:val="0"/>
          <w:sz w:val="22"/>
        </w:rPr>
        <w:t xml:space="preserve">razvijanje </w:t>
      </w:r>
      <w:r w:rsidRPr="009C422E">
        <w:rPr>
          <w:rFonts w:cstheme="minorHAnsi"/>
          <w:b w:val="0"/>
          <w:bCs/>
          <w:sz w:val="22"/>
        </w:rPr>
        <w:t>kreativnosti, discipline i odgovornosti</w:t>
      </w:r>
      <w:r w:rsidRPr="009C422E">
        <w:rPr>
          <w:rFonts w:cstheme="minorHAnsi"/>
          <w:b w:val="0"/>
          <w:sz w:val="22"/>
        </w:rPr>
        <w:t xml:space="preserve">, njegovanje </w:t>
      </w:r>
      <w:r w:rsidRPr="009C422E">
        <w:rPr>
          <w:rFonts w:cstheme="minorHAnsi"/>
          <w:b w:val="0"/>
          <w:bCs/>
          <w:sz w:val="22"/>
        </w:rPr>
        <w:t>glazbene kulture</w:t>
      </w:r>
      <w:r w:rsidRPr="009C422E">
        <w:rPr>
          <w:rFonts w:cstheme="minorHAnsi"/>
          <w:b w:val="0"/>
          <w:sz w:val="22"/>
        </w:rPr>
        <w:t xml:space="preserve">, poticanje </w:t>
      </w:r>
      <w:r w:rsidRPr="009C422E">
        <w:rPr>
          <w:rFonts w:cstheme="minorHAnsi"/>
          <w:b w:val="0"/>
          <w:bCs/>
          <w:sz w:val="22"/>
        </w:rPr>
        <w:t>aktivnog sudjelovanja učenika</w:t>
      </w:r>
      <w:r w:rsidRPr="009C422E">
        <w:rPr>
          <w:rFonts w:cstheme="minorHAnsi"/>
          <w:b w:val="0"/>
          <w:sz w:val="22"/>
        </w:rPr>
        <w:t xml:space="preserve"> u kulturnom životu lokalne zajednice i šire.</w:t>
      </w:r>
    </w:p>
    <w:p w14:paraId="5B3EE4FD" w14:textId="155DC769" w:rsidR="00235322" w:rsidRDefault="00AD79D8" w:rsidP="00B9131F">
      <w:pPr>
        <w:spacing w:line="360" w:lineRule="auto"/>
        <w:jc w:val="both"/>
        <w:rPr>
          <w:rFonts w:cstheme="minorHAnsi"/>
          <w:b w:val="0"/>
          <w:sz w:val="22"/>
        </w:rPr>
      </w:pPr>
      <w:r w:rsidRPr="00AD79D8">
        <w:rPr>
          <w:rFonts w:cstheme="minorHAnsi"/>
          <w:b w:val="0"/>
          <w:sz w:val="22"/>
        </w:rPr>
        <w:t>Pokazatelji uspješnosti jasno ukazuju na povećanje kvalitete glazbenog obrazovanja, kontinuirani napredak učenika i profesionalni razvoj nastavnika.</w:t>
      </w:r>
      <w:r>
        <w:rPr>
          <w:rFonts w:cstheme="minorHAnsi"/>
          <w:b w:val="0"/>
          <w:sz w:val="22"/>
        </w:rPr>
        <w:t xml:space="preserve"> </w:t>
      </w:r>
      <w:r w:rsidRPr="00AD79D8">
        <w:rPr>
          <w:rFonts w:cstheme="minorHAnsi"/>
          <w:b w:val="0"/>
          <w:sz w:val="22"/>
        </w:rPr>
        <w:t>Škola će i dalje provoditi planirane aktivnosti u skladu s ciljevima utvrđenima u Školskom kurikulumu i Godišnjem planu i programu rada, s naglaskom na izvrsnost, kreativnost i umjetnički integritet u obrazovnom procesu.</w:t>
      </w:r>
    </w:p>
    <w:p w14:paraId="49B7C3D6" w14:textId="77777777" w:rsidR="00AD79D8" w:rsidRPr="00AD79D8" w:rsidRDefault="00AD79D8" w:rsidP="00B9131F">
      <w:pPr>
        <w:spacing w:line="360" w:lineRule="auto"/>
        <w:jc w:val="both"/>
        <w:rPr>
          <w:rFonts w:cstheme="minorHAnsi"/>
          <w:b w:val="0"/>
          <w:sz w:val="22"/>
        </w:rPr>
      </w:pPr>
    </w:p>
    <w:tbl>
      <w:tblPr>
        <w:tblStyle w:val="Reetkatablice"/>
        <w:tblW w:w="5692" w:type="dxa"/>
        <w:tblInd w:w="3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2737"/>
      </w:tblGrid>
      <w:tr w:rsidR="00235322" w:rsidRPr="009C422E" w14:paraId="3F4F81D8" w14:textId="77777777" w:rsidTr="00EC55B7">
        <w:trPr>
          <w:trHeight w:val="1268"/>
        </w:trPr>
        <w:tc>
          <w:tcPr>
            <w:tcW w:w="3048" w:type="dxa"/>
          </w:tcPr>
          <w:p w14:paraId="2ADEF221" w14:textId="0A6409C8" w:rsidR="00984BE9" w:rsidRDefault="00984BE9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84BE9">
              <w:rPr>
                <w:rFonts w:cstheme="minorHAnsi"/>
                <w:b w:val="0"/>
                <w:sz w:val="22"/>
              </w:rPr>
              <w:t>Ravnatelj/ica:</w:t>
            </w:r>
          </w:p>
          <w:p w14:paraId="74114DF6" w14:textId="6B12E6B2" w:rsidR="00235322" w:rsidRPr="009C422E" w:rsidRDefault="00235322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2644" w:type="dxa"/>
          </w:tcPr>
          <w:p w14:paraId="6F378D0B" w14:textId="6FA482DC" w:rsidR="00984BE9" w:rsidRPr="009C422E" w:rsidRDefault="00984BE9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84BE9">
              <w:rPr>
                <w:rFonts w:cstheme="minorHAnsi"/>
                <w:b w:val="0"/>
                <w:sz w:val="22"/>
              </w:rPr>
              <w:t>Branka Špoljar, prof</w:t>
            </w:r>
          </w:p>
          <w:p w14:paraId="607D3B0E" w14:textId="77777777" w:rsidR="00235322" w:rsidRPr="009C422E" w:rsidRDefault="00235322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C422E">
              <w:rPr>
                <w:rFonts w:cstheme="minorHAnsi"/>
                <w:b w:val="0"/>
                <w:sz w:val="22"/>
              </w:rPr>
              <w:t>_______________________</w:t>
            </w:r>
          </w:p>
        </w:tc>
      </w:tr>
      <w:tr w:rsidR="00235322" w:rsidRPr="009C422E" w14:paraId="7C04FF8E" w14:textId="77777777" w:rsidTr="00EC55B7">
        <w:trPr>
          <w:trHeight w:val="1268"/>
        </w:trPr>
        <w:tc>
          <w:tcPr>
            <w:tcW w:w="3048" w:type="dxa"/>
          </w:tcPr>
          <w:p w14:paraId="68351BAD" w14:textId="4BDB4ACA" w:rsidR="00235322" w:rsidRPr="009C422E" w:rsidRDefault="00984BE9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84BE9">
              <w:rPr>
                <w:rFonts w:cstheme="minorHAnsi"/>
                <w:b w:val="0"/>
                <w:sz w:val="22"/>
              </w:rPr>
              <w:t>Voditelj/ica računovodstva:</w:t>
            </w:r>
          </w:p>
        </w:tc>
        <w:tc>
          <w:tcPr>
            <w:tcW w:w="2644" w:type="dxa"/>
          </w:tcPr>
          <w:p w14:paraId="668FC39B" w14:textId="21F391D3" w:rsidR="00235322" w:rsidRPr="009C422E" w:rsidRDefault="00984BE9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84BE9">
              <w:rPr>
                <w:rFonts w:cstheme="minorHAnsi"/>
                <w:b w:val="0"/>
                <w:sz w:val="22"/>
              </w:rPr>
              <w:t>Marija Manjkas, mag. oec</w:t>
            </w:r>
          </w:p>
          <w:p w14:paraId="344FFF61" w14:textId="77777777" w:rsidR="00235322" w:rsidRPr="009C422E" w:rsidRDefault="00235322" w:rsidP="00B9131F">
            <w:pPr>
              <w:spacing w:line="360" w:lineRule="auto"/>
              <w:jc w:val="both"/>
              <w:rPr>
                <w:rFonts w:cstheme="minorHAnsi"/>
                <w:b w:val="0"/>
                <w:sz w:val="22"/>
              </w:rPr>
            </w:pPr>
            <w:r w:rsidRPr="009C422E">
              <w:rPr>
                <w:rFonts w:cstheme="minorHAnsi"/>
                <w:b w:val="0"/>
                <w:sz w:val="22"/>
              </w:rPr>
              <w:t>_______________________</w:t>
            </w:r>
          </w:p>
        </w:tc>
      </w:tr>
    </w:tbl>
    <w:p w14:paraId="66CCEA30" w14:textId="77777777" w:rsidR="001673E7" w:rsidRPr="009C422E" w:rsidRDefault="001673E7" w:rsidP="00B9131F">
      <w:pPr>
        <w:spacing w:line="360" w:lineRule="auto"/>
        <w:jc w:val="both"/>
        <w:rPr>
          <w:rFonts w:cstheme="minorHAnsi"/>
          <w:i/>
          <w:sz w:val="22"/>
        </w:rPr>
      </w:pPr>
    </w:p>
    <w:sectPr w:rsidR="001673E7" w:rsidRPr="009C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A32"/>
    <w:multiLevelType w:val="multilevel"/>
    <w:tmpl w:val="765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6E1B"/>
    <w:multiLevelType w:val="multilevel"/>
    <w:tmpl w:val="BDEC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16FDA"/>
    <w:multiLevelType w:val="hybridMultilevel"/>
    <w:tmpl w:val="AD787050"/>
    <w:lvl w:ilvl="0" w:tplc="B3E87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436"/>
    <w:multiLevelType w:val="hybridMultilevel"/>
    <w:tmpl w:val="678272F2"/>
    <w:lvl w:ilvl="0" w:tplc="2D905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07E"/>
    <w:multiLevelType w:val="hybridMultilevel"/>
    <w:tmpl w:val="F01AA6AA"/>
    <w:lvl w:ilvl="0" w:tplc="CA581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4B89"/>
    <w:multiLevelType w:val="hybridMultilevel"/>
    <w:tmpl w:val="6C06B50A"/>
    <w:lvl w:ilvl="0" w:tplc="525C0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DF7"/>
    <w:multiLevelType w:val="multilevel"/>
    <w:tmpl w:val="6F44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E3702"/>
    <w:multiLevelType w:val="multilevel"/>
    <w:tmpl w:val="1D9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A4923"/>
    <w:multiLevelType w:val="hybridMultilevel"/>
    <w:tmpl w:val="012E7CFE"/>
    <w:lvl w:ilvl="0" w:tplc="B59A7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183"/>
    <w:multiLevelType w:val="hybridMultilevel"/>
    <w:tmpl w:val="D6702EF8"/>
    <w:lvl w:ilvl="0" w:tplc="3636FC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3279"/>
    <w:multiLevelType w:val="hybridMultilevel"/>
    <w:tmpl w:val="3B4AFF8A"/>
    <w:lvl w:ilvl="0" w:tplc="4C749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052B"/>
    <w:multiLevelType w:val="hybridMultilevel"/>
    <w:tmpl w:val="750CF320"/>
    <w:lvl w:ilvl="0" w:tplc="82E8850A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145F1"/>
    <w:multiLevelType w:val="hybridMultilevel"/>
    <w:tmpl w:val="0E3A34FC"/>
    <w:lvl w:ilvl="0" w:tplc="CA581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543E2"/>
    <w:multiLevelType w:val="multilevel"/>
    <w:tmpl w:val="D54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47202"/>
    <w:multiLevelType w:val="hybridMultilevel"/>
    <w:tmpl w:val="CB7CDE70"/>
    <w:lvl w:ilvl="0" w:tplc="0C8A8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7781"/>
    <w:multiLevelType w:val="hybridMultilevel"/>
    <w:tmpl w:val="BB74D310"/>
    <w:lvl w:ilvl="0" w:tplc="FBE2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9621E"/>
    <w:multiLevelType w:val="hybridMultilevel"/>
    <w:tmpl w:val="B830A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A3550"/>
    <w:multiLevelType w:val="hybridMultilevel"/>
    <w:tmpl w:val="B0C04154"/>
    <w:lvl w:ilvl="0" w:tplc="EBC6A1E0">
      <w:start w:val="71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9771F41"/>
    <w:multiLevelType w:val="hybridMultilevel"/>
    <w:tmpl w:val="3FEE1480"/>
    <w:lvl w:ilvl="0" w:tplc="5BB82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B7746"/>
    <w:multiLevelType w:val="hybridMultilevel"/>
    <w:tmpl w:val="A7064390"/>
    <w:lvl w:ilvl="0" w:tplc="B59A7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5917"/>
    <w:multiLevelType w:val="hybridMultilevel"/>
    <w:tmpl w:val="98823C56"/>
    <w:lvl w:ilvl="0" w:tplc="1A4C3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5686"/>
    <w:multiLevelType w:val="hybridMultilevel"/>
    <w:tmpl w:val="78C2410A"/>
    <w:lvl w:ilvl="0" w:tplc="73B667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F7F1D"/>
    <w:multiLevelType w:val="hybridMultilevel"/>
    <w:tmpl w:val="61DCA56A"/>
    <w:lvl w:ilvl="0" w:tplc="5CB03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4BE2"/>
    <w:multiLevelType w:val="multilevel"/>
    <w:tmpl w:val="AC9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8618E"/>
    <w:multiLevelType w:val="multilevel"/>
    <w:tmpl w:val="B29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81AE2"/>
    <w:multiLevelType w:val="hybridMultilevel"/>
    <w:tmpl w:val="52363154"/>
    <w:lvl w:ilvl="0" w:tplc="6D2A6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17F0F"/>
    <w:multiLevelType w:val="multilevel"/>
    <w:tmpl w:val="571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3336C"/>
    <w:multiLevelType w:val="hybridMultilevel"/>
    <w:tmpl w:val="D86C410C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1"/>
  </w:num>
  <w:num w:numId="5">
    <w:abstractNumId w:val="20"/>
  </w:num>
  <w:num w:numId="6">
    <w:abstractNumId w:val="25"/>
  </w:num>
  <w:num w:numId="7">
    <w:abstractNumId w:val="18"/>
  </w:num>
  <w:num w:numId="8">
    <w:abstractNumId w:val="15"/>
  </w:num>
  <w:num w:numId="9">
    <w:abstractNumId w:val="2"/>
  </w:num>
  <w:num w:numId="10">
    <w:abstractNumId w:val="10"/>
  </w:num>
  <w:num w:numId="11">
    <w:abstractNumId w:val="22"/>
  </w:num>
  <w:num w:numId="12">
    <w:abstractNumId w:val="8"/>
  </w:num>
  <w:num w:numId="13">
    <w:abstractNumId w:val="5"/>
  </w:num>
  <w:num w:numId="14">
    <w:abstractNumId w:val="4"/>
  </w:num>
  <w:num w:numId="15">
    <w:abstractNumId w:val="17"/>
  </w:num>
  <w:num w:numId="16">
    <w:abstractNumId w:val="16"/>
  </w:num>
  <w:num w:numId="17">
    <w:abstractNumId w:val="21"/>
  </w:num>
  <w:num w:numId="18">
    <w:abstractNumId w:val="27"/>
  </w:num>
  <w:num w:numId="19">
    <w:abstractNumId w:val="12"/>
  </w:num>
  <w:num w:numId="20">
    <w:abstractNumId w:val="19"/>
  </w:num>
  <w:num w:numId="21">
    <w:abstractNumId w:val="0"/>
  </w:num>
  <w:num w:numId="22">
    <w:abstractNumId w:val="13"/>
  </w:num>
  <w:num w:numId="23">
    <w:abstractNumId w:val="23"/>
  </w:num>
  <w:num w:numId="24">
    <w:abstractNumId w:val="24"/>
  </w:num>
  <w:num w:numId="25">
    <w:abstractNumId w:val="26"/>
  </w:num>
  <w:num w:numId="26">
    <w:abstractNumId w:val="1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74"/>
    <w:rsid w:val="00071FF5"/>
    <w:rsid w:val="00086DD4"/>
    <w:rsid w:val="000B6A16"/>
    <w:rsid w:val="000E46B6"/>
    <w:rsid w:val="000F6946"/>
    <w:rsid w:val="00110F63"/>
    <w:rsid w:val="001241B2"/>
    <w:rsid w:val="0014356D"/>
    <w:rsid w:val="00143666"/>
    <w:rsid w:val="001625C4"/>
    <w:rsid w:val="001673E7"/>
    <w:rsid w:val="00173AF1"/>
    <w:rsid w:val="00196509"/>
    <w:rsid w:val="001C53F3"/>
    <w:rsid w:val="001F49DE"/>
    <w:rsid w:val="001F5DDA"/>
    <w:rsid w:val="00213C73"/>
    <w:rsid w:val="00235322"/>
    <w:rsid w:val="002653D9"/>
    <w:rsid w:val="002868AA"/>
    <w:rsid w:val="002B3A24"/>
    <w:rsid w:val="002C6660"/>
    <w:rsid w:val="00330B73"/>
    <w:rsid w:val="003A7865"/>
    <w:rsid w:val="003A7D65"/>
    <w:rsid w:val="00400295"/>
    <w:rsid w:val="00400A4D"/>
    <w:rsid w:val="00432F42"/>
    <w:rsid w:val="004371E2"/>
    <w:rsid w:val="00497972"/>
    <w:rsid w:val="004B649B"/>
    <w:rsid w:val="004D7CE9"/>
    <w:rsid w:val="005B2B52"/>
    <w:rsid w:val="005C2A4B"/>
    <w:rsid w:val="00602CB0"/>
    <w:rsid w:val="0062034B"/>
    <w:rsid w:val="006413EF"/>
    <w:rsid w:val="0066459B"/>
    <w:rsid w:val="00676D16"/>
    <w:rsid w:val="006C50CC"/>
    <w:rsid w:val="006D2325"/>
    <w:rsid w:val="006D540C"/>
    <w:rsid w:val="00776095"/>
    <w:rsid w:val="007841E1"/>
    <w:rsid w:val="007B6963"/>
    <w:rsid w:val="007C6B40"/>
    <w:rsid w:val="00840482"/>
    <w:rsid w:val="008B2987"/>
    <w:rsid w:val="008B6064"/>
    <w:rsid w:val="008E4F0B"/>
    <w:rsid w:val="008E7FA8"/>
    <w:rsid w:val="00932D30"/>
    <w:rsid w:val="009623EC"/>
    <w:rsid w:val="00963136"/>
    <w:rsid w:val="00984BE9"/>
    <w:rsid w:val="009A1274"/>
    <w:rsid w:val="009C422E"/>
    <w:rsid w:val="00A33B4E"/>
    <w:rsid w:val="00A41FC7"/>
    <w:rsid w:val="00A74A1F"/>
    <w:rsid w:val="00A820EC"/>
    <w:rsid w:val="00A82743"/>
    <w:rsid w:val="00A979BB"/>
    <w:rsid w:val="00AC0182"/>
    <w:rsid w:val="00AD79D8"/>
    <w:rsid w:val="00B405DB"/>
    <w:rsid w:val="00B57E0F"/>
    <w:rsid w:val="00B73C10"/>
    <w:rsid w:val="00B86B3A"/>
    <w:rsid w:val="00B9131F"/>
    <w:rsid w:val="00BD3CCE"/>
    <w:rsid w:val="00BE0AE5"/>
    <w:rsid w:val="00BE5672"/>
    <w:rsid w:val="00BF1094"/>
    <w:rsid w:val="00C131AD"/>
    <w:rsid w:val="00C54F18"/>
    <w:rsid w:val="00C662F3"/>
    <w:rsid w:val="00CA1829"/>
    <w:rsid w:val="00CD1EBD"/>
    <w:rsid w:val="00CD7BF9"/>
    <w:rsid w:val="00CE0541"/>
    <w:rsid w:val="00D13496"/>
    <w:rsid w:val="00D37040"/>
    <w:rsid w:val="00D627F2"/>
    <w:rsid w:val="00D76859"/>
    <w:rsid w:val="00DD4605"/>
    <w:rsid w:val="00E36AE2"/>
    <w:rsid w:val="00E55546"/>
    <w:rsid w:val="00E76E1C"/>
    <w:rsid w:val="00E80E83"/>
    <w:rsid w:val="00EB364C"/>
    <w:rsid w:val="00EC55B7"/>
    <w:rsid w:val="00ED23C5"/>
    <w:rsid w:val="00F47FA0"/>
    <w:rsid w:val="00F57297"/>
    <w:rsid w:val="00F629D7"/>
    <w:rsid w:val="00FA7D6B"/>
    <w:rsid w:val="00FC4EC7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00E7"/>
  <w15:chartTrackingRefBased/>
  <w15:docId w15:val="{C67BEC73-2D79-46D4-8CA9-C1456088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46"/>
    <w:pPr>
      <w:spacing w:after="0"/>
      <w:jc w:val="center"/>
    </w:pPr>
    <w:rPr>
      <w:b/>
      <w:sz w:val="40"/>
    </w:rPr>
  </w:style>
  <w:style w:type="paragraph" w:styleId="Naslov1">
    <w:name w:val="heading 1"/>
    <w:basedOn w:val="Normal"/>
    <w:next w:val="Normal"/>
    <w:link w:val="Naslov1Char"/>
    <w:uiPriority w:val="9"/>
    <w:qFormat/>
    <w:rsid w:val="00CD1E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 w:val="0"/>
      <w:color w:val="323E4F" w:themeColor="text2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413EF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23E4F" w:themeColor="text2" w:themeShade="BF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D1EBD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323E4F" w:themeColor="text2" w:themeShade="BF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D1EBD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Cs/>
      <w:color w:val="222A35" w:themeColor="text2" w:themeShade="8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A127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34"/>
    <w:qFormat/>
    <w:rsid w:val="002C6660"/>
    <w:pPr>
      <w:ind w:left="720"/>
      <w:contextualSpacing/>
    </w:pPr>
  </w:style>
  <w:style w:type="paragraph" w:styleId="Bezproreda">
    <w:name w:val="No Spacing"/>
    <w:uiPriority w:val="1"/>
    <w:qFormat/>
    <w:rsid w:val="002C6660"/>
    <w:pPr>
      <w:spacing w:after="0" w:line="240" w:lineRule="auto"/>
      <w:jc w:val="center"/>
    </w:pPr>
    <w:rPr>
      <w:b/>
      <w:sz w:val="40"/>
    </w:rPr>
  </w:style>
  <w:style w:type="character" w:customStyle="1" w:styleId="Naslov1Char">
    <w:name w:val="Naslov 1 Char"/>
    <w:basedOn w:val="Zadanifontodlomka"/>
    <w:link w:val="Naslov1"/>
    <w:uiPriority w:val="9"/>
    <w:rsid w:val="00CD1EBD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413EF"/>
    <w:rPr>
      <w:rFonts w:asciiTheme="majorHAnsi" w:eastAsiaTheme="majorEastAsia" w:hAnsiTheme="majorHAnsi" w:cstheme="majorBidi"/>
      <w:b/>
      <w:color w:val="323E4F" w:themeColor="text2" w:themeShade="BF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D1EBD"/>
    <w:rPr>
      <w:rFonts w:asciiTheme="majorHAnsi" w:eastAsiaTheme="majorEastAsia" w:hAnsiTheme="majorHAnsi" w:cstheme="majorBidi"/>
      <w:b/>
      <w:color w:val="323E4F" w:themeColor="text2" w:themeShade="BF"/>
      <w:sz w:val="24"/>
      <w:szCs w:val="24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CD1EBD"/>
    <w:rPr>
      <w:rFonts w:asciiTheme="majorHAnsi" w:eastAsiaTheme="majorEastAsia" w:hAnsiTheme="majorHAnsi" w:cstheme="majorBidi"/>
      <w:b/>
      <w:iCs/>
      <w:color w:val="222A35" w:themeColor="text2" w:themeShade="80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2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CB0"/>
    <w:rPr>
      <w:rFonts w:ascii="Segoe UI" w:hAnsi="Segoe UI" w:cs="Segoe UI"/>
      <w:b/>
      <w:sz w:val="18"/>
      <w:szCs w:val="18"/>
    </w:rPr>
  </w:style>
  <w:style w:type="table" w:styleId="Reetkatablice">
    <w:name w:val="Table Grid"/>
    <w:basedOn w:val="Obinatablica"/>
    <w:uiPriority w:val="39"/>
    <w:rsid w:val="00ED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A18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48036E6C6F4BB8230A536F5985E8" ma:contentTypeVersion="14" ma:contentTypeDescription="Create a new document." ma:contentTypeScope="" ma:versionID="28557c044c92ccf72d1f8eb7f6491d2a">
  <xsd:schema xmlns:xsd="http://www.w3.org/2001/XMLSchema" xmlns:xs="http://www.w3.org/2001/XMLSchema" xmlns:p="http://schemas.microsoft.com/office/2006/metadata/properties" xmlns:ns3="a54cff6b-89cd-472d-8428-4d992b99b4f5" xmlns:ns4="aadfe461-7b82-4e08-bbd2-ccc55be7c3ae" targetNamespace="http://schemas.microsoft.com/office/2006/metadata/properties" ma:root="true" ma:fieldsID="4389e6a29d7a587af1a52d057da5df6b" ns3:_="" ns4:_="">
    <xsd:import namespace="a54cff6b-89cd-472d-8428-4d992b99b4f5"/>
    <xsd:import namespace="aadfe461-7b82-4e08-bbd2-ccc55be7c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ff6b-89cd-472d-8428-4d992b99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fe461-7b82-4e08-bbd2-ccc55be7c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cff6b-89cd-472d-8428-4d992b99b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C1AB-DAFA-4A89-A442-911912657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cff6b-89cd-472d-8428-4d992b99b4f5"/>
    <ds:schemaRef ds:uri="aadfe461-7b82-4e08-bbd2-ccc55be7c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D957F-96AC-48A2-BE5F-2084E12D5726}">
  <ds:schemaRefs>
    <ds:schemaRef ds:uri="http://purl.org/dc/elements/1.1/"/>
    <ds:schemaRef ds:uri="http://schemas.openxmlformats.org/package/2006/metadata/core-properties"/>
    <ds:schemaRef ds:uri="a54cff6b-89cd-472d-8428-4d992b99b4f5"/>
    <ds:schemaRef ds:uri="aadfe461-7b82-4e08-bbd2-ccc55be7c3a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797B6E-B036-4590-851D-49C1C2B7B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AF6E9-102D-44CE-B77A-12D02860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7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Manjkas</cp:lastModifiedBy>
  <cp:revision>16</cp:revision>
  <cp:lastPrinted>2025-11-06T15:52:00Z</cp:lastPrinted>
  <dcterms:created xsi:type="dcterms:W3CDTF">2025-11-05T11:49:00Z</dcterms:created>
  <dcterms:modified xsi:type="dcterms:W3CDTF">2025-12-23T07:29:00Z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0x010100CB0E48036E6C6F4BB8230A536F5985E8</vt:lpwstr>
  </property>
</Properties>
</file>