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f7571f91e49d7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8623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GLAZBENA ŠKOLA ALBERTA ŠTRIGE, KRIŽEVCI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691.839,92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770.662,14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650.095,05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846.852,87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76.190,73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35.737,35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20.048,66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35.715,65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20.026,94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56,1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96.217,67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Glazbena škola djeluje u okviru Programa Osnovnoškolskog obrazovanja. Program obuhvaća predškolsko glazbeno obrazovanje početnički solfeggio I i početnički solfeggio II, osnovno glazbeno obrazovanje u šestogodišnjem trajanju, pripremno glazbeno obrazovanje je za srednje školsko glazbeno obrazovanje u dvogodišnjem trajanju, te srednje školsko glazbeno obrazovanje u četverogodišnjem trajanju.
Ukupno ostvareni prihodi u izvještajnom razdoblju iznose 770.683,86 eura, što je 11,4 % više u odnosu na prihode ostvarene u izvještajnom razdoblju prethodne godine, dok su ukupni rashodi izvršeni u iznosu od 866.901,53 eura, što je 26,4 % više u odnosu na isto izvještajno razdoblje prethodne godine. Navedena povećanja  u odnosu na isto razdoblje prethodne godine odnose se najvećim dijelom na opći rast cijena robe i usluga na tržištu, te na primjenu novih propisa vezanih za povećanje plaća u državnim i javnim službama. Manjak prihoda i primitaka u iznosu od 96.217,67 eura proizlazi iz ukidanja prethodno evidentiranih razgraničenja troškova plaća, koja su u prethodnoj godini bila iskazana kao razgraničeni rashodi dok u tekućoj godini terete rezultat.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606.219,89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663.501,10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 tekućih pomoći proračunskim korisnicima za 9,4%, odnose se na prihode MZOM za plaće i materijalna prava radnika u odnosu na isto razdoblje prethodne godine odnosi se na povećanje osnovice za obračun plaće u javnim službama, prema Odluci Vlade NN br. 155/24., na snazi od 1.1.2025.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556.904,72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717.492,97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Troškovi za zaposlene izvršeni su u iznosu od 717.492,97 eura što je za 160.588,25 eura ili za 28,8% više u odnosu na isto razdoblje prethodne godine. Povećanje proizlazi najvećim dijelom iz ukidanja prethodno evidentiranih razgraničenja troškova, koja su u prethodnoj godini bila iskazana kao razgraničeni rashodi dok su u tekućoj godini troškovi iskazani za jedan mjesec više.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11.172,00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17.845,42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Troškovi službenih putovanja izvršeni su u ovom polugodišnjem razdoblju u iznosu od 17.845,42 eura što je za 59,7% više nego u istom razdoblju prethodne godine. Povećanje se odnosi na veći broj održanih natjecanja učenika.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usluge (šifre 3231 do 3239)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13.637,31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31.138,89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usluge izvršeni su u iznosu od 31.138,89 eura što je 128,3% više nego u istom razdoblju prethodne godine. Povećanje se odnosi najvećim dijelom na provedbu prilagodbe vezane za kontrolu ulaska i izlaska u školskim ustanovama prema Odluci MZOM-a od 2. siječnja 2025., te su nastali novi neplanirani troškovi. 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4.457,58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13.608,79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Troškovi usluga tekućeg i investicijskog održavanja izvršeni su u iznosu od 13.608,79 eura što je za 9.151,21 eura, odnosno 205,3% više u odnosu na isto razdoblje prethodne godine. Povećanje se odnosi najvećim dijelom na provedbu kontrole ulaska i izlaska u školskim ustanovama prema protokolu: uređenje portirnice, montažu brava na ulaznim vratima te ostali vezani troškovi.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1.418,38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10.717,49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Troškovi intelektualnih usluga izvršeni su u iznosu od 10.717,49 eura što je za 9.299,11 eura ili 655,6 % više u odnosu na isto razdoblje prethodne godine. Povećanje se odnosi najvećim dijelom na provedbu kontrole ulaska i izlaska u školskim ustanovama prema protokolu: izradu sigurnosne procjene zaštite objekta prema zakonu privatne zaštite te povećanu potrebu za profesorima koji su angažirani na temelju Ugovora o djelu.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osobama izvan radnog odnosa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7.377,99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20.895,49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283,2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Naknada troškova osobama izvan radnog odnosa odnose se na troškove učenika i nastavnika za natjecanja. Izvršeni su u iznosu od 20.895,49 eura što je za 13.517,50 eura ili za 183,2 % više u odnosu na isto razdoblje prethodne godine zbog više održanih natjecanja.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251,90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1.035,27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troškova reprezentacije u ovom izvještajnom razdoblju u odnosu na isto razdoblje prethodne godine je zbog nastalih troškova održavanja 80. obljetnice djelovanja glazbene škole.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5.312,00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Troškovi uredske opreme i namještaja u ovom izvještajnom razdoblju u iznosu od 5.312 eura odnose se na opremanje nove zbornice namještajem.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Škola nema dospjelih obveza, sve obveze su nedospjele. 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105.575,92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u iznosu od 105.575,92 eura odnose najvećim dijelom na obveze za zaposlene, plaću za lipanj u iznosu od 97.880,22 eura, materijalne rashode u iznosu 7.130,25 eura, obveze za povrat u proračun za bolovanja HZZO 305,45 eura,  te obveze za povrat u nadležni proračun za plaćene predujmove u iznosu od 260 eura.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5a4c0bb0c4cf9" /></Relationships>
</file>