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18642" w14:textId="322E06A4" w:rsidR="002C6660" w:rsidRPr="00CD1EBD" w:rsidRDefault="002C6660" w:rsidP="00B405DB">
      <w:pPr>
        <w:pStyle w:val="Naslov1"/>
      </w:pPr>
      <w:r w:rsidRPr="00CD1EBD">
        <w:t>OBRAZLOŽENJE FINANCIJSKOG PLANA GLAZBENE ŠKOLE</w:t>
      </w:r>
      <w:r w:rsidR="00400295">
        <w:t xml:space="preserve"> ALBERTA ŠTRIGE KRIŽEVCI ZA 2025</w:t>
      </w:r>
      <w:r w:rsidR="004D7CE9">
        <w:t>. GODINU I PROJEKCIJE ZA 2026. I 2027</w:t>
      </w:r>
      <w:r w:rsidRPr="00CD1EBD">
        <w:t>. GODINU</w:t>
      </w:r>
    </w:p>
    <w:p w14:paraId="7058764E" w14:textId="77777777" w:rsidR="005C2A4B" w:rsidRDefault="005C2A4B" w:rsidP="00F47FA0">
      <w:pPr>
        <w:jc w:val="both"/>
        <w:rPr>
          <w:rFonts w:eastAsia="Times New Roman" w:cstheme="minorHAnsi"/>
          <w:b w:val="0"/>
          <w:sz w:val="22"/>
        </w:rPr>
      </w:pPr>
    </w:p>
    <w:p w14:paraId="0CBF707F" w14:textId="33F1018D" w:rsidR="005C2A4B" w:rsidRPr="003A7D65" w:rsidRDefault="00F629D7" w:rsidP="00F47FA0">
      <w:pPr>
        <w:spacing w:line="360" w:lineRule="auto"/>
        <w:jc w:val="both"/>
        <w:rPr>
          <w:rFonts w:eastAsia="Times New Roman" w:cstheme="minorHAnsi"/>
          <w:b w:val="0"/>
          <w:color w:val="000000" w:themeColor="text1"/>
          <w:sz w:val="22"/>
        </w:rPr>
      </w:pPr>
      <w:r>
        <w:rPr>
          <w:rFonts w:eastAsia="Times New Roman" w:cstheme="minorHAnsi"/>
          <w:b w:val="0"/>
          <w:sz w:val="22"/>
        </w:rPr>
        <w:t>Sukladno Č</w:t>
      </w:r>
      <w:r w:rsidR="00A74A1F">
        <w:rPr>
          <w:rFonts w:eastAsia="Times New Roman" w:cstheme="minorHAnsi"/>
          <w:b w:val="0"/>
          <w:sz w:val="22"/>
        </w:rPr>
        <w:t>lanku 31</w:t>
      </w:r>
      <w:r w:rsidR="00BD3CCE">
        <w:rPr>
          <w:rFonts w:eastAsia="Times New Roman" w:cstheme="minorHAnsi"/>
          <w:b w:val="0"/>
          <w:sz w:val="22"/>
        </w:rPr>
        <w:t xml:space="preserve"> i 36</w:t>
      </w:r>
      <w:r w:rsidR="00A74A1F">
        <w:rPr>
          <w:rFonts w:eastAsia="Times New Roman" w:cstheme="minorHAnsi"/>
          <w:b w:val="0"/>
          <w:sz w:val="22"/>
        </w:rPr>
        <w:t xml:space="preserve"> Zakona o proračunu</w:t>
      </w:r>
      <w:r w:rsidR="00A74A1F" w:rsidRPr="00A74A1F">
        <w:rPr>
          <w:rFonts w:eastAsia="Times New Roman" w:cstheme="minorHAnsi"/>
          <w:b w:val="0"/>
          <w:sz w:val="22"/>
        </w:rPr>
        <w:t xml:space="preserve"> </w:t>
      </w:r>
      <w:r w:rsidR="004D7CE9">
        <w:rPr>
          <w:rFonts w:eastAsia="Times New Roman" w:cstheme="minorHAnsi"/>
          <w:b w:val="0"/>
          <w:sz w:val="22"/>
        </w:rPr>
        <w:t>i na temelju</w:t>
      </w:r>
      <w:r w:rsidR="00A74A1F">
        <w:rPr>
          <w:rFonts w:eastAsia="Times New Roman" w:cstheme="minorHAnsi"/>
          <w:b w:val="0"/>
          <w:sz w:val="22"/>
        </w:rPr>
        <w:t xml:space="preserve"> </w:t>
      </w:r>
      <w:r w:rsidR="00A74A1F" w:rsidRPr="005C2A4B">
        <w:rPr>
          <w:rFonts w:eastAsia="Times New Roman" w:cstheme="minorHAnsi"/>
          <w:b w:val="0"/>
          <w:sz w:val="22"/>
        </w:rPr>
        <w:t>uputa</w:t>
      </w:r>
      <w:r w:rsidR="004371E2">
        <w:rPr>
          <w:rFonts w:eastAsia="Times New Roman" w:cstheme="minorHAnsi"/>
          <w:b w:val="0"/>
          <w:sz w:val="22"/>
        </w:rPr>
        <w:t xml:space="preserve"> </w:t>
      </w:r>
      <w:r w:rsidR="00A74A1F" w:rsidRPr="005C2A4B">
        <w:rPr>
          <w:rFonts w:eastAsia="Times New Roman" w:cstheme="minorHAnsi"/>
          <w:b w:val="0"/>
          <w:sz w:val="22"/>
        </w:rPr>
        <w:t>U</w:t>
      </w:r>
      <w:r w:rsidR="00BD3CCE">
        <w:rPr>
          <w:rFonts w:eastAsia="Times New Roman" w:cstheme="minorHAnsi"/>
          <w:b w:val="0"/>
          <w:sz w:val="22"/>
        </w:rPr>
        <w:t>pravnog odjela za gospodarstvo,</w:t>
      </w:r>
      <w:r w:rsidR="00A74A1F" w:rsidRPr="005C2A4B">
        <w:rPr>
          <w:rFonts w:eastAsia="Times New Roman" w:cstheme="minorHAnsi"/>
          <w:b w:val="0"/>
          <w:sz w:val="22"/>
        </w:rPr>
        <w:t xml:space="preserve"> financije</w:t>
      </w:r>
      <w:r w:rsidR="00BD3CCE">
        <w:rPr>
          <w:rFonts w:eastAsia="Times New Roman" w:cstheme="minorHAnsi"/>
          <w:b w:val="0"/>
          <w:sz w:val="22"/>
        </w:rPr>
        <w:t>, EU fondove i javnu nabavu</w:t>
      </w:r>
      <w:r w:rsidR="004371E2">
        <w:rPr>
          <w:rFonts w:eastAsia="Times New Roman" w:cstheme="minorHAnsi"/>
          <w:b w:val="0"/>
          <w:sz w:val="22"/>
        </w:rPr>
        <w:t xml:space="preserve"> G</w:t>
      </w:r>
      <w:r w:rsidR="004D7CE9">
        <w:rPr>
          <w:rFonts w:eastAsia="Times New Roman" w:cstheme="minorHAnsi"/>
          <w:b w:val="0"/>
          <w:sz w:val="22"/>
        </w:rPr>
        <w:t>rada Križevaca.</w:t>
      </w:r>
      <w:r w:rsidR="00A74A1F" w:rsidRPr="005C2A4B">
        <w:rPr>
          <w:rFonts w:eastAsia="Times New Roman" w:cstheme="minorHAnsi"/>
          <w:b w:val="0"/>
          <w:sz w:val="22"/>
        </w:rPr>
        <w:t xml:space="preserve"> </w:t>
      </w:r>
      <w:r w:rsidR="004371E2">
        <w:rPr>
          <w:rFonts w:eastAsia="Times New Roman" w:cstheme="minorHAnsi"/>
          <w:b w:val="0"/>
          <w:sz w:val="22"/>
        </w:rPr>
        <w:t>O</w:t>
      </w:r>
      <w:r w:rsidR="00A74A1F">
        <w:rPr>
          <w:rFonts w:eastAsia="Times New Roman" w:cstheme="minorHAnsi"/>
          <w:b w:val="0"/>
          <w:sz w:val="22"/>
        </w:rPr>
        <w:t>brazloženje p</w:t>
      </w:r>
      <w:r w:rsidR="00A74A1F" w:rsidRPr="005C2A4B">
        <w:rPr>
          <w:rFonts w:eastAsia="Times New Roman" w:cstheme="minorHAnsi"/>
          <w:b w:val="0"/>
          <w:sz w:val="22"/>
        </w:rPr>
        <w:t>rijedl</w:t>
      </w:r>
      <w:r w:rsidR="00A74A1F">
        <w:rPr>
          <w:rFonts w:eastAsia="Times New Roman" w:cstheme="minorHAnsi"/>
          <w:b w:val="0"/>
          <w:sz w:val="22"/>
        </w:rPr>
        <w:t>oga financijskog plana Glazb</w:t>
      </w:r>
      <w:r w:rsidR="00400295">
        <w:rPr>
          <w:rFonts w:eastAsia="Times New Roman" w:cstheme="minorHAnsi"/>
          <w:b w:val="0"/>
          <w:sz w:val="22"/>
        </w:rPr>
        <w:t>ene škole Alberta Štrige za 2025. godinu i projekcije za 2026. i 2027</w:t>
      </w:r>
      <w:r w:rsidR="00A74A1F">
        <w:rPr>
          <w:rFonts w:eastAsia="Times New Roman" w:cstheme="minorHAnsi"/>
          <w:b w:val="0"/>
          <w:sz w:val="22"/>
        </w:rPr>
        <w:t xml:space="preserve">. sadrži obrazloženje </w:t>
      </w:r>
      <w:r w:rsidR="00400295">
        <w:rPr>
          <w:rFonts w:eastAsia="Times New Roman" w:cstheme="minorHAnsi"/>
          <w:sz w:val="22"/>
        </w:rPr>
        <w:t xml:space="preserve">općeg </w:t>
      </w:r>
      <w:r w:rsidR="004371E2">
        <w:rPr>
          <w:rFonts w:eastAsia="Times New Roman" w:cstheme="minorHAnsi"/>
          <w:b w:val="0"/>
          <w:sz w:val="22"/>
        </w:rPr>
        <w:t xml:space="preserve">i </w:t>
      </w:r>
      <w:r w:rsidR="00A74A1F" w:rsidRPr="00A74A1F">
        <w:rPr>
          <w:rFonts w:eastAsia="Times New Roman" w:cstheme="minorHAnsi"/>
          <w:sz w:val="22"/>
        </w:rPr>
        <w:t>posebnog dijela financijskog plana</w:t>
      </w:r>
      <w:r w:rsidR="00A74A1F">
        <w:rPr>
          <w:rFonts w:eastAsia="Times New Roman" w:cstheme="minorHAnsi"/>
          <w:b w:val="0"/>
          <w:sz w:val="22"/>
        </w:rPr>
        <w:t xml:space="preserve"> </w:t>
      </w:r>
      <w:r w:rsidR="00A74A1F" w:rsidRPr="003A7D65">
        <w:rPr>
          <w:rFonts w:eastAsia="Times New Roman" w:cstheme="minorHAnsi"/>
          <w:b w:val="0"/>
          <w:color w:val="000000" w:themeColor="text1"/>
          <w:sz w:val="22"/>
        </w:rPr>
        <w:t>(obrazloženje programa koje se daje kroz obrazloženje aktivnosti i projekata s ciljevima i pokazateljima uspješnosti)</w:t>
      </w:r>
      <w:r w:rsidR="005C2A4B" w:rsidRPr="003A7D65">
        <w:rPr>
          <w:rFonts w:eastAsia="Times New Roman" w:cstheme="minorHAnsi"/>
          <w:b w:val="0"/>
          <w:color w:val="000000" w:themeColor="text1"/>
          <w:sz w:val="22"/>
        </w:rPr>
        <w:t xml:space="preserve">.  </w:t>
      </w:r>
    </w:p>
    <w:p w14:paraId="274B69D1" w14:textId="77777777" w:rsidR="005C2A4B" w:rsidRPr="003A7D65" w:rsidRDefault="005C2A4B" w:rsidP="00F47FA0">
      <w:pPr>
        <w:jc w:val="both"/>
        <w:rPr>
          <w:color w:val="000000" w:themeColor="text1"/>
        </w:rPr>
      </w:pPr>
    </w:p>
    <w:p w14:paraId="13273AD0" w14:textId="77777777" w:rsidR="00B73C10" w:rsidRDefault="00B73C10" w:rsidP="00F47FA0">
      <w:pPr>
        <w:pStyle w:val="Naslov2"/>
        <w:numPr>
          <w:ilvl w:val="0"/>
          <w:numId w:val="14"/>
        </w:numPr>
        <w:jc w:val="both"/>
      </w:pPr>
      <w:r>
        <w:t>OBRAZLOŽENJE OPĆEG DIJELA FINANCIJSKOG PLANA</w:t>
      </w:r>
    </w:p>
    <w:p w14:paraId="630806C4" w14:textId="77777777" w:rsidR="00400A4D" w:rsidRPr="00400A4D" w:rsidRDefault="00400A4D" w:rsidP="00F47FA0">
      <w:pPr>
        <w:jc w:val="both"/>
      </w:pPr>
    </w:p>
    <w:p w14:paraId="45F878CD" w14:textId="77777777" w:rsidR="00B73C10" w:rsidRDefault="00B73C10" w:rsidP="00F47FA0">
      <w:pPr>
        <w:pStyle w:val="Naslov3"/>
        <w:numPr>
          <w:ilvl w:val="0"/>
          <w:numId w:val="12"/>
        </w:numPr>
        <w:jc w:val="both"/>
      </w:pPr>
      <w:r w:rsidRPr="00400A4D">
        <w:t>OBRAZLOŽENJE PRIHODA I RASHODA</w:t>
      </w:r>
    </w:p>
    <w:p w14:paraId="683F2404" w14:textId="77777777" w:rsidR="00400A4D" w:rsidRDefault="00400A4D" w:rsidP="00F47FA0">
      <w:pPr>
        <w:jc w:val="both"/>
      </w:pPr>
    </w:p>
    <w:p w14:paraId="59559B99" w14:textId="77777777" w:rsidR="00400A4D" w:rsidRDefault="00400A4D" w:rsidP="00F47FA0">
      <w:pPr>
        <w:pStyle w:val="Naslov3"/>
        <w:jc w:val="both"/>
        <w:rPr>
          <w:u w:val="none"/>
        </w:rPr>
      </w:pPr>
      <w:r w:rsidRPr="00CD1EBD">
        <w:rPr>
          <w:u w:val="none"/>
        </w:rPr>
        <w:t>PRIHODI</w:t>
      </w:r>
      <w:r w:rsidR="00D627F2" w:rsidRPr="00CD1EBD">
        <w:rPr>
          <w:u w:val="none"/>
        </w:rPr>
        <w:t xml:space="preserve">  </w:t>
      </w:r>
    </w:p>
    <w:p w14:paraId="443F16DF" w14:textId="77777777" w:rsidR="00CD1EBD" w:rsidRPr="00CD1EBD" w:rsidRDefault="00CD1EBD" w:rsidP="00F47FA0">
      <w:pPr>
        <w:jc w:val="both"/>
      </w:pPr>
    </w:p>
    <w:p w14:paraId="1131E814" w14:textId="16B8DB0B" w:rsidR="00CD1EBD" w:rsidRDefault="00CD1EBD" w:rsidP="00F47FA0">
      <w:pPr>
        <w:spacing w:after="160"/>
        <w:jc w:val="both"/>
        <w:rPr>
          <w:b w:val="0"/>
          <w:sz w:val="22"/>
        </w:rPr>
      </w:pPr>
      <w:r w:rsidRPr="00CD1EBD">
        <w:rPr>
          <w:b w:val="0"/>
          <w:sz w:val="22"/>
        </w:rPr>
        <w:t>P</w:t>
      </w:r>
      <w:r w:rsidR="00FC4EC7">
        <w:rPr>
          <w:b w:val="0"/>
          <w:sz w:val="22"/>
        </w:rPr>
        <w:t>rihodi za 2025</w:t>
      </w:r>
      <w:r>
        <w:rPr>
          <w:b w:val="0"/>
          <w:sz w:val="22"/>
        </w:rPr>
        <w:t>. godinu planir</w:t>
      </w:r>
      <w:r w:rsidR="004371E2">
        <w:rPr>
          <w:b w:val="0"/>
          <w:sz w:val="22"/>
        </w:rPr>
        <w:t>a</w:t>
      </w:r>
      <w:r w:rsidR="00071FF5">
        <w:rPr>
          <w:b w:val="0"/>
          <w:sz w:val="22"/>
        </w:rPr>
        <w:t>ni su u iznosu 1.</w:t>
      </w:r>
      <w:r w:rsidR="00FC4EC7">
        <w:rPr>
          <w:b w:val="0"/>
          <w:sz w:val="22"/>
        </w:rPr>
        <w:t>576.095</w:t>
      </w:r>
      <w:r w:rsidR="00071FF5">
        <w:rPr>
          <w:b w:val="0"/>
          <w:sz w:val="22"/>
        </w:rPr>
        <w:t xml:space="preserve"> eura, </w:t>
      </w:r>
      <w:r w:rsidR="00932D30">
        <w:rPr>
          <w:b w:val="0"/>
          <w:sz w:val="22"/>
        </w:rPr>
        <w:t xml:space="preserve">dok su </w:t>
      </w:r>
      <w:r w:rsidR="009623EC">
        <w:rPr>
          <w:b w:val="0"/>
          <w:sz w:val="22"/>
        </w:rPr>
        <w:t>planirane projekcije za 2026</w:t>
      </w:r>
      <w:r w:rsidR="00932D30">
        <w:rPr>
          <w:b w:val="0"/>
          <w:sz w:val="22"/>
        </w:rPr>
        <w:t xml:space="preserve">. godinu </w:t>
      </w:r>
      <w:r w:rsidR="009623EC">
        <w:rPr>
          <w:b w:val="0"/>
          <w:sz w:val="22"/>
        </w:rPr>
        <w:t xml:space="preserve">u iznosu </w:t>
      </w:r>
      <w:r w:rsidR="00FC4EC7">
        <w:rPr>
          <w:b w:val="0"/>
          <w:sz w:val="22"/>
        </w:rPr>
        <w:t>1.559.495</w:t>
      </w:r>
      <w:r w:rsidR="009623EC">
        <w:rPr>
          <w:b w:val="0"/>
          <w:sz w:val="22"/>
        </w:rPr>
        <w:t xml:space="preserve"> eura, za 2027</w:t>
      </w:r>
      <w:r w:rsidR="00932D30">
        <w:rPr>
          <w:b w:val="0"/>
          <w:sz w:val="22"/>
        </w:rPr>
        <w:t xml:space="preserve">. godinu </w:t>
      </w:r>
      <w:r w:rsidR="00FC4EC7">
        <w:rPr>
          <w:b w:val="0"/>
          <w:sz w:val="22"/>
        </w:rPr>
        <w:t>1.564.195</w:t>
      </w:r>
      <w:r w:rsidR="00932D30">
        <w:rPr>
          <w:b w:val="0"/>
          <w:sz w:val="22"/>
        </w:rPr>
        <w:t xml:space="preserve"> eura.</w:t>
      </w:r>
      <w:r w:rsidR="00071FF5">
        <w:rPr>
          <w:b w:val="0"/>
          <w:sz w:val="22"/>
        </w:rPr>
        <w:t xml:space="preserve"> </w:t>
      </w:r>
    </w:p>
    <w:tbl>
      <w:tblPr>
        <w:tblW w:w="9092" w:type="dxa"/>
        <w:tblInd w:w="-5" w:type="dxa"/>
        <w:tblLook w:val="04A0" w:firstRow="1" w:lastRow="0" w:firstColumn="1" w:lastColumn="0" w:noHBand="0" w:noVBand="1"/>
      </w:tblPr>
      <w:tblGrid>
        <w:gridCol w:w="673"/>
        <w:gridCol w:w="745"/>
        <w:gridCol w:w="2952"/>
        <w:gridCol w:w="1574"/>
        <w:gridCol w:w="1574"/>
        <w:gridCol w:w="1574"/>
      </w:tblGrid>
      <w:tr w:rsidR="00FC4EC7" w:rsidRPr="00FC4EC7" w14:paraId="28A843CF" w14:textId="77777777" w:rsidTr="00FC4EC7">
        <w:trPr>
          <w:trHeight w:val="5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B521F9B" w14:textId="77777777" w:rsidR="00FC4EC7" w:rsidRPr="00FC4EC7" w:rsidRDefault="00FC4EC7" w:rsidP="00FC4EC7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8933E0C" w14:textId="77777777" w:rsidR="00FC4EC7" w:rsidRPr="00FC4EC7" w:rsidRDefault="00FC4EC7" w:rsidP="00FC4EC7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Skupina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3C040CE" w14:textId="77777777" w:rsidR="00FC4EC7" w:rsidRPr="00FC4EC7" w:rsidRDefault="00FC4EC7" w:rsidP="00FC4EC7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Naziv prihoda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182EEA3" w14:textId="77777777" w:rsidR="00FC4EC7" w:rsidRPr="00FC4EC7" w:rsidRDefault="00FC4EC7" w:rsidP="00FC4EC7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Proračun za 2025.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709A7DA" w14:textId="77777777" w:rsidR="00FC4EC7" w:rsidRPr="00FC4EC7" w:rsidRDefault="00FC4EC7" w:rsidP="00FC4EC7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Projekcija proračuna za 2026.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879185C" w14:textId="77777777" w:rsidR="00FC4EC7" w:rsidRPr="00FC4EC7" w:rsidRDefault="00FC4EC7" w:rsidP="00FC4EC7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Projekcija proračuna za 2027.</w:t>
            </w:r>
          </w:p>
        </w:tc>
      </w:tr>
      <w:tr w:rsidR="00FC4EC7" w:rsidRPr="00FC4EC7" w14:paraId="16CBBDC1" w14:textId="77777777" w:rsidTr="00FC4EC7">
        <w:trPr>
          <w:trHeight w:val="363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337D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33B4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4C71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5B772E7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1.576.095,00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D878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1.559.495,00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312F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1.564.195,00</w:t>
            </w:r>
          </w:p>
        </w:tc>
      </w:tr>
      <w:tr w:rsidR="00FC4EC7" w:rsidRPr="00FC4EC7" w14:paraId="5DD255DB" w14:textId="77777777" w:rsidTr="00FC4EC7">
        <w:trPr>
          <w:trHeight w:val="379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5B40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85A52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0536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ABAA130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1.576.050,00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8D99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1.559.450,00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F449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1.564.150,00</w:t>
            </w:r>
          </w:p>
        </w:tc>
      </w:tr>
      <w:tr w:rsidR="00FC4EC7" w:rsidRPr="00FC4EC7" w14:paraId="053BBD1A" w14:textId="77777777" w:rsidTr="00FC4EC7">
        <w:trPr>
          <w:trHeight w:val="427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49B62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DCDD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D118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5945226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1.427.900,00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39C6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1.427.900,00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1CB9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1.427.900,00</w:t>
            </w:r>
          </w:p>
        </w:tc>
      </w:tr>
      <w:tr w:rsidR="00FC4EC7" w:rsidRPr="00FC4EC7" w14:paraId="0A33FD65" w14:textId="77777777" w:rsidTr="00FC4EC7">
        <w:trPr>
          <w:trHeight w:val="442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4464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A824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D3190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B233BE7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38.400,00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D78C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38.400,00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2EC68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38.400,00</w:t>
            </w:r>
          </w:p>
        </w:tc>
      </w:tr>
      <w:tr w:rsidR="00FC4EC7" w:rsidRPr="00FC4EC7" w14:paraId="27660CE5" w14:textId="77777777" w:rsidTr="00FC4EC7">
        <w:trPr>
          <w:trHeight w:val="427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B43B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F92D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0099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431D1D7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D9EF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5B79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7.900,00</w:t>
            </w:r>
          </w:p>
        </w:tc>
      </w:tr>
      <w:tr w:rsidR="00FC4EC7" w:rsidRPr="00FC4EC7" w14:paraId="5A60ADBA" w14:textId="77777777" w:rsidTr="00FC4EC7">
        <w:trPr>
          <w:trHeight w:val="379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822A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37FC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9744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212C193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153E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0DAA5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250,00</w:t>
            </w:r>
          </w:p>
        </w:tc>
      </w:tr>
      <w:tr w:rsidR="00FC4EC7" w:rsidRPr="00FC4EC7" w14:paraId="5FD40496" w14:textId="77777777" w:rsidTr="00FC4EC7">
        <w:trPr>
          <w:trHeight w:val="442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A4D7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B800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CC76A" w14:textId="292BA9B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Prihodi iz</w:t>
            </w:r>
            <w:r w:rsidR="004D7CE9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 xml:space="preserve"> nadležnog proračuna i od HZZO-na temelju</w:t>
            </w: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 xml:space="preserve"> ugovornih obveza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63B319B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101.600,00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EA25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30F5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89.700,00</w:t>
            </w:r>
          </w:p>
        </w:tc>
      </w:tr>
      <w:tr w:rsidR="00FC4EC7" w:rsidRPr="00FC4EC7" w14:paraId="563F4DAF" w14:textId="77777777" w:rsidTr="00FC4EC7">
        <w:trPr>
          <w:trHeight w:val="379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E9AC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15CFF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A9F5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B29F7A4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2E09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F8D8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FC4EC7" w:rsidRPr="00FC4EC7" w14:paraId="024580BB" w14:textId="77777777" w:rsidTr="00FC4EC7">
        <w:trPr>
          <w:trHeight w:val="379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41CE5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73BB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8E0B" w14:textId="77777777" w:rsidR="00FC4EC7" w:rsidRPr="00FC4EC7" w:rsidRDefault="00FC4EC7" w:rsidP="00FC4EC7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4B73648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2C6A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CA8D" w14:textId="77777777" w:rsidR="00FC4EC7" w:rsidRPr="00FC4EC7" w:rsidRDefault="00FC4EC7" w:rsidP="00FC4EC7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FC4EC7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</w:tbl>
    <w:p w14:paraId="725CAA86" w14:textId="2725EF32" w:rsidR="00432F42" w:rsidRDefault="00432F42" w:rsidP="00F47FA0">
      <w:pPr>
        <w:spacing w:after="160"/>
        <w:jc w:val="both"/>
        <w:rPr>
          <w:b w:val="0"/>
          <w:sz w:val="22"/>
        </w:rPr>
      </w:pPr>
    </w:p>
    <w:p w14:paraId="6A67BFFE" w14:textId="15355C63" w:rsidR="00071FF5" w:rsidRDefault="00602CB0" w:rsidP="00F47FA0">
      <w:pPr>
        <w:spacing w:after="160"/>
        <w:jc w:val="both"/>
        <w:rPr>
          <w:b w:val="0"/>
          <w:sz w:val="22"/>
        </w:rPr>
      </w:pPr>
      <w:r>
        <w:rPr>
          <w:b w:val="0"/>
          <w:sz w:val="22"/>
        </w:rPr>
        <w:t>Najveći</w:t>
      </w:r>
      <w:r w:rsidR="00932D30">
        <w:rPr>
          <w:b w:val="0"/>
          <w:sz w:val="22"/>
        </w:rPr>
        <w:t xml:space="preserve"> dio prihoda odnosi se na </w:t>
      </w:r>
      <w:r w:rsidR="00932D30" w:rsidRPr="00932D30">
        <w:rPr>
          <w:sz w:val="22"/>
        </w:rPr>
        <w:t>prihode poslovanja</w:t>
      </w:r>
      <w:r w:rsidR="00932D30">
        <w:rPr>
          <w:b w:val="0"/>
          <w:sz w:val="22"/>
        </w:rPr>
        <w:t xml:space="preserve"> u iznosu od </w:t>
      </w:r>
      <w:r w:rsidR="00FC4EC7">
        <w:rPr>
          <w:b w:val="0"/>
          <w:sz w:val="22"/>
        </w:rPr>
        <w:t>1.576.050</w:t>
      </w:r>
      <w:r w:rsidR="00932D30">
        <w:rPr>
          <w:b w:val="0"/>
          <w:sz w:val="22"/>
        </w:rPr>
        <w:t xml:space="preserve"> eura.</w:t>
      </w:r>
    </w:p>
    <w:p w14:paraId="3B25F704" w14:textId="77777777" w:rsidR="00432F42" w:rsidRDefault="00432F42" w:rsidP="00F47FA0">
      <w:pPr>
        <w:spacing w:after="160"/>
        <w:jc w:val="both"/>
        <w:rPr>
          <w:b w:val="0"/>
          <w:sz w:val="22"/>
        </w:rPr>
      </w:pPr>
    </w:p>
    <w:p w14:paraId="293D63F8" w14:textId="4170B2FA" w:rsidR="00071FF5" w:rsidRDefault="00071FF5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lastRenderedPageBreak/>
        <w:t>63 – Pomoći iz inozemstva i od subjekata unutar općeg proračuna u</w:t>
      </w:r>
      <w:r w:rsidR="00602CB0">
        <w:rPr>
          <w:b w:val="0"/>
          <w:sz w:val="22"/>
        </w:rPr>
        <w:t xml:space="preserve"> iznosu od </w:t>
      </w:r>
      <w:r w:rsidR="00FC4EC7">
        <w:rPr>
          <w:b w:val="0"/>
          <w:sz w:val="22"/>
        </w:rPr>
        <w:t xml:space="preserve">1.427.900 </w:t>
      </w:r>
      <w:r w:rsidR="00602CB0">
        <w:rPr>
          <w:b w:val="0"/>
          <w:sz w:val="22"/>
        </w:rPr>
        <w:t>eura odnosi</w:t>
      </w:r>
      <w:r>
        <w:rPr>
          <w:b w:val="0"/>
          <w:sz w:val="22"/>
        </w:rPr>
        <w:t xml:space="preserve"> se na tekuće pomoći</w:t>
      </w:r>
      <w:r w:rsidR="00BE0AE5">
        <w:rPr>
          <w:b w:val="0"/>
          <w:sz w:val="22"/>
        </w:rPr>
        <w:t xml:space="preserve"> proračuna koji nisu nadležni, odnosno</w:t>
      </w:r>
      <w:r>
        <w:rPr>
          <w:b w:val="0"/>
          <w:sz w:val="22"/>
        </w:rPr>
        <w:t xml:space="preserve"> državnog proračuna</w:t>
      </w:r>
      <w:r w:rsidR="00BE0AE5">
        <w:rPr>
          <w:b w:val="0"/>
          <w:sz w:val="22"/>
        </w:rPr>
        <w:t xml:space="preserve"> (MZO)</w:t>
      </w:r>
      <w:r>
        <w:rPr>
          <w:b w:val="0"/>
          <w:sz w:val="22"/>
        </w:rPr>
        <w:t xml:space="preserve"> za financiranje </w:t>
      </w:r>
      <w:r w:rsidR="00BE0AE5">
        <w:rPr>
          <w:b w:val="0"/>
          <w:sz w:val="22"/>
        </w:rPr>
        <w:t xml:space="preserve">rashoda za zaposlene u iznosu od </w:t>
      </w:r>
      <w:r w:rsidR="00FC4EC7">
        <w:rPr>
          <w:b w:val="0"/>
          <w:sz w:val="22"/>
        </w:rPr>
        <w:t>1.365.900</w:t>
      </w:r>
      <w:r w:rsidR="00BE0AE5">
        <w:rPr>
          <w:b w:val="0"/>
          <w:sz w:val="22"/>
        </w:rPr>
        <w:t xml:space="preserve"> eura,</w:t>
      </w:r>
      <w:r w:rsidR="00FC4EC7">
        <w:rPr>
          <w:b w:val="0"/>
          <w:sz w:val="22"/>
        </w:rPr>
        <w:t xml:space="preserve"> te</w:t>
      </w:r>
      <w:r w:rsidR="00BE0AE5">
        <w:rPr>
          <w:b w:val="0"/>
          <w:sz w:val="22"/>
        </w:rPr>
        <w:t xml:space="preserve"> pomoći proračuna županije</w:t>
      </w:r>
      <w:r w:rsidR="00602CB0">
        <w:rPr>
          <w:b w:val="0"/>
          <w:sz w:val="22"/>
        </w:rPr>
        <w:t xml:space="preserve"> (KKŽ)</w:t>
      </w:r>
      <w:r w:rsidR="00BE0AE5">
        <w:rPr>
          <w:b w:val="0"/>
          <w:sz w:val="22"/>
        </w:rPr>
        <w:t xml:space="preserve"> za financiranje troškova prijevoza djelatnika na posao i s posla u iznosu od 62.000 eura</w:t>
      </w:r>
      <w:r w:rsidR="00FC4EC7">
        <w:rPr>
          <w:b w:val="0"/>
          <w:sz w:val="22"/>
        </w:rPr>
        <w:t>.</w:t>
      </w:r>
    </w:p>
    <w:p w14:paraId="3330DBC4" w14:textId="3B28647D" w:rsidR="00BE0AE5" w:rsidRDefault="00BE0AE5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65 – Prihodi po posebnim propisima planirani su u iznosu od </w:t>
      </w:r>
      <w:r w:rsidR="00FC4EC7">
        <w:rPr>
          <w:b w:val="0"/>
          <w:sz w:val="22"/>
        </w:rPr>
        <w:t>38.400</w:t>
      </w:r>
      <w:r>
        <w:rPr>
          <w:b w:val="0"/>
          <w:sz w:val="22"/>
        </w:rPr>
        <w:t xml:space="preserve"> eura</w:t>
      </w:r>
      <w:r w:rsidR="00330B73">
        <w:rPr>
          <w:b w:val="0"/>
          <w:sz w:val="22"/>
        </w:rPr>
        <w:t>,</w:t>
      </w:r>
      <w:r>
        <w:rPr>
          <w:b w:val="0"/>
          <w:sz w:val="22"/>
        </w:rPr>
        <w:t xml:space="preserve"> a odnose se na sufinanciranje </w:t>
      </w:r>
      <w:r w:rsidR="00330B73">
        <w:rPr>
          <w:b w:val="0"/>
          <w:sz w:val="22"/>
        </w:rPr>
        <w:t>participacije učenika glazbenog obrazovanja.</w:t>
      </w:r>
    </w:p>
    <w:p w14:paraId="746BAA4B" w14:textId="682A02AB" w:rsidR="00330B73" w:rsidRDefault="00330B73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66 – Prihodi od pruženih usluga u iznosu od 7.</w:t>
      </w:r>
      <w:r w:rsidR="00FC4EC7">
        <w:rPr>
          <w:b w:val="0"/>
          <w:sz w:val="22"/>
        </w:rPr>
        <w:t>900</w:t>
      </w:r>
      <w:r>
        <w:rPr>
          <w:b w:val="0"/>
          <w:sz w:val="22"/>
        </w:rPr>
        <w:t xml:space="preserve"> odnose se na ostvarene prihode od iznajmljivanja glazbenih instrumenata u vlasništvu škole.</w:t>
      </w:r>
    </w:p>
    <w:p w14:paraId="6170F302" w14:textId="48322B18" w:rsidR="00330B73" w:rsidRDefault="00330B73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67 – Prihodi iz nadležnog proračuna u iznosu od </w:t>
      </w:r>
      <w:r w:rsidR="00FC4EC7">
        <w:rPr>
          <w:b w:val="0"/>
          <w:sz w:val="22"/>
        </w:rPr>
        <w:t>101.600</w:t>
      </w:r>
      <w:r>
        <w:rPr>
          <w:b w:val="0"/>
          <w:sz w:val="22"/>
        </w:rPr>
        <w:t xml:space="preserve"> eura odnose se na financiranje redovite djelatnosti glazbene škole.</w:t>
      </w:r>
    </w:p>
    <w:p w14:paraId="452785FE" w14:textId="2F0DEB65" w:rsidR="00932D30" w:rsidRDefault="00330B73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68 – Kazne, upravne mjere i ostali prihodi planirani su u iznosu od </w:t>
      </w:r>
      <w:r w:rsidR="00FC4EC7">
        <w:rPr>
          <w:b w:val="0"/>
          <w:sz w:val="22"/>
        </w:rPr>
        <w:t>250</w:t>
      </w:r>
      <w:r>
        <w:rPr>
          <w:b w:val="0"/>
          <w:sz w:val="22"/>
        </w:rPr>
        <w:t xml:space="preserve"> eura.</w:t>
      </w:r>
    </w:p>
    <w:p w14:paraId="184C3B31" w14:textId="77777777" w:rsidR="00932D30" w:rsidRDefault="00932D30" w:rsidP="00F47FA0">
      <w:pPr>
        <w:spacing w:after="160" w:line="360" w:lineRule="auto"/>
        <w:jc w:val="both"/>
        <w:rPr>
          <w:b w:val="0"/>
          <w:sz w:val="22"/>
        </w:rPr>
      </w:pPr>
      <w:r w:rsidRPr="00932D30">
        <w:rPr>
          <w:sz w:val="22"/>
        </w:rPr>
        <w:t>Prihodi od prodaje nefinancijske imovine</w:t>
      </w:r>
      <w:r>
        <w:rPr>
          <w:b w:val="0"/>
          <w:sz w:val="22"/>
        </w:rPr>
        <w:t xml:space="preserve"> planirani su u iznosu od 45 eura.</w:t>
      </w:r>
    </w:p>
    <w:p w14:paraId="3F877914" w14:textId="247030AA" w:rsidR="00932D30" w:rsidRDefault="00330B73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72 – Prihodi od prodaje proizvedene dugotrajne imovine </w:t>
      </w:r>
      <w:r w:rsidR="00FC4EC7">
        <w:rPr>
          <w:b w:val="0"/>
          <w:sz w:val="22"/>
        </w:rPr>
        <w:t xml:space="preserve">odnose </w:t>
      </w:r>
      <w:r>
        <w:rPr>
          <w:b w:val="0"/>
          <w:sz w:val="22"/>
        </w:rPr>
        <w:t>se na prihod od uplate mjesečne rate od prodaje stanova.</w:t>
      </w:r>
    </w:p>
    <w:p w14:paraId="4B3CC989" w14:textId="77777777" w:rsidR="00932D30" w:rsidRPr="00CD1EBD" w:rsidRDefault="00932D30" w:rsidP="00F47FA0">
      <w:pPr>
        <w:spacing w:after="160" w:line="360" w:lineRule="auto"/>
        <w:jc w:val="both"/>
        <w:rPr>
          <w:b w:val="0"/>
          <w:sz w:val="22"/>
        </w:rPr>
      </w:pPr>
    </w:p>
    <w:p w14:paraId="760C5B5E" w14:textId="77777777" w:rsidR="00330B73" w:rsidRDefault="00330B73" w:rsidP="00F47FA0">
      <w:pPr>
        <w:pStyle w:val="Naslov3"/>
        <w:jc w:val="both"/>
        <w:rPr>
          <w:u w:val="none"/>
        </w:rPr>
      </w:pPr>
      <w:r>
        <w:rPr>
          <w:u w:val="none"/>
        </w:rPr>
        <w:t>RASHODI</w:t>
      </w:r>
    </w:p>
    <w:p w14:paraId="531A13BE" w14:textId="77777777" w:rsidR="00932D30" w:rsidRPr="00932D30" w:rsidRDefault="00932D30" w:rsidP="00F47FA0">
      <w:pPr>
        <w:jc w:val="both"/>
      </w:pPr>
    </w:p>
    <w:p w14:paraId="2A743DC3" w14:textId="1D779EE8" w:rsidR="00330B73" w:rsidRDefault="00330B73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Rashodi</w:t>
      </w:r>
      <w:r w:rsidR="0014356D">
        <w:rPr>
          <w:b w:val="0"/>
          <w:sz w:val="22"/>
        </w:rPr>
        <w:t xml:space="preserve"> za</w:t>
      </w:r>
      <w:r>
        <w:rPr>
          <w:b w:val="0"/>
          <w:sz w:val="22"/>
        </w:rPr>
        <w:t xml:space="preserve"> 2024. godinu </w:t>
      </w:r>
      <w:r w:rsidR="0014356D">
        <w:rPr>
          <w:b w:val="0"/>
          <w:sz w:val="22"/>
        </w:rPr>
        <w:t xml:space="preserve">planirani su u iznosu od </w:t>
      </w:r>
      <w:r w:rsidR="0066459B">
        <w:rPr>
          <w:b w:val="0"/>
          <w:sz w:val="22"/>
        </w:rPr>
        <w:t xml:space="preserve">1.576.095 </w:t>
      </w:r>
      <w:r w:rsidR="0014356D">
        <w:rPr>
          <w:b w:val="0"/>
          <w:sz w:val="22"/>
        </w:rPr>
        <w:t>eura.</w:t>
      </w:r>
    </w:p>
    <w:tbl>
      <w:tblPr>
        <w:tblW w:w="9264" w:type="dxa"/>
        <w:tblInd w:w="-5" w:type="dxa"/>
        <w:tblLook w:val="04A0" w:firstRow="1" w:lastRow="0" w:firstColumn="1" w:lastColumn="0" w:noHBand="0" w:noVBand="1"/>
      </w:tblPr>
      <w:tblGrid>
        <w:gridCol w:w="673"/>
        <w:gridCol w:w="745"/>
        <w:gridCol w:w="3019"/>
        <w:gridCol w:w="1609"/>
        <w:gridCol w:w="1609"/>
        <w:gridCol w:w="1609"/>
      </w:tblGrid>
      <w:tr w:rsidR="0066459B" w:rsidRPr="00CE0541" w14:paraId="4BEBA6F3" w14:textId="77777777" w:rsidTr="0066459B">
        <w:trPr>
          <w:trHeight w:val="59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EEC02E4" w14:textId="77777777" w:rsidR="0066459B" w:rsidRPr="0066459B" w:rsidRDefault="0066459B" w:rsidP="0066459B">
            <w:pPr>
              <w:spacing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F37D393" w14:textId="77777777" w:rsidR="0066459B" w:rsidRPr="0066459B" w:rsidRDefault="0066459B" w:rsidP="0066459B">
            <w:pPr>
              <w:spacing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Skupina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BBC73DC" w14:textId="77777777" w:rsidR="0066459B" w:rsidRPr="0066459B" w:rsidRDefault="0066459B" w:rsidP="0066459B">
            <w:pPr>
              <w:spacing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Naziv rashoda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7B5A75F" w14:textId="77777777" w:rsidR="0066459B" w:rsidRPr="0066459B" w:rsidRDefault="0066459B" w:rsidP="0066459B">
            <w:pPr>
              <w:spacing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Proračun za 2025.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EE2C94B" w14:textId="77777777" w:rsidR="0066459B" w:rsidRPr="0066459B" w:rsidRDefault="0066459B" w:rsidP="0066459B">
            <w:pPr>
              <w:spacing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Projekcija proračuna za 2026.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D511DA9" w14:textId="77777777" w:rsidR="0066459B" w:rsidRPr="0066459B" w:rsidRDefault="0066459B" w:rsidP="0066459B">
            <w:pPr>
              <w:spacing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Projekcija proračuna za 2027.</w:t>
            </w:r>
          </w:p>
        </w:tc>
      </w:tr>
      <w:tr w:rsidR="0066459B" w:rsidRPr="0066459B" w14:paraId="3B04D804" w14:textId="77777777" w:rsidTr="0066459B">
        <w:trPr>
          <w:trHeight w:val="372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87DA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88C4A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C168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F6A9A69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1.576.095,00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69A4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1.559.495,00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B749A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1.564.195,00</w:t>
            </w:r>
          </w:p>
        </w:tc>
      </w:tr>
      <w:tr w:rsidR="0066459B" w:rsidRPr="0066459B" w14:paraId="19C41A76" w14:textId="77777777" w:rsidTr="0066459B">
        <w:trPr>
          <w:trHeight w:val="388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E167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715FD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887E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7480DBC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1.545.595,00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3B578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1.527.095,00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A412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1.529.795,00</w:t>
            </w:r>
          </w:p>
        </w:tc>
      </w:tr>
      <w:tr w:rsidR="0066459B" w:rsidRPr="0066459B" w14:paraId="0CAE6771" w14:textId="77777777" w:rsidTr="0066459B">
        <w:trPr>
          <w:trHeight w:val="388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7E521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E8AB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E57A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B774EBD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1.331.800,00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8533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1.331.800,00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B584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1.331.800,00</w:t>
            </w:r>
          </w:p>
        </w:tc>
      </w:tr>
      <w:tr w:rsidR="0066459B" w:rsidRPr="0066459B" w14:paraId="519F6EB2" w14:textId="77777777" w:rsidTr="0066459B">
        <w:trPr>
          <w:trHeight w:val="388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0F67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A27B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2E24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646CC76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213.695,00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E72E1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195.195,00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9FB6D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197.895,00</w:t>
            </w:r>
          </w:p>
        </w:tc>
      </w:tr>
      <w:tr w:rsidR="0066459B" w:rsidRPr="0066459B" w14:paraId="0FB2BFA6" w14:textId="77777777" w:rsidTr="0066459B">
        <w:trPr>
          <w:trHeight w:val="388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844B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E2516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8FF0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6CBC6F4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2D2C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DC31B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66459B" w:rsidRPr="0066459B" w14:paraId="6F43E5F2" w14:textId="77777777" w:rsidTr="0066459B">
        <w:trPr>
          <w:trHeight w:val="388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F8CD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BC4D6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22F5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C08C2FB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F6F1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32.400,00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5AA2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hr-HR"/>
              </w:rPr>
              <w:t>34.400,00</w:t>
            </w:r>
          </w:p>
        </w:tc>
      </w:tr>
      <w:tr w:rsidR="0066459B" w:rsidRPr="0066459B" w14:paraId="3D27F112" w14:textId="77777777" w:rsidTr="0066459B">
        <w:trPr>
          <w:trHeight w:val="436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960BD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F4D3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050A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CD727ED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7A08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2A98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2.900,00</w:t>
            </w:r>
          </w:p>
        </w:tc>
      </w:tr>
      <w:tr w:rsidR="0066459B" w:rsidRPr="0066459B" w14:paraId="4CC7930A" w14:textId="77777777" w:rsidTr="0066459B">
        <w:trPr>
          <w:trHeight w:val="453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80FF0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4035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3F8CF" w14:textId="77777777" w:rsidR="0066459B" w:rsidRPr="0066459B" w:rsidRDefault="0066459B" w:rsidP="0066459B">
            <w:pPr>
              <w:spacing w:line="240" w:lineRule="auto"/>
              <w:jc w:val="lef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31D08F2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0D8C" w14:textId="77777777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D8155" w14:textId="6CF27AA4" w:rsidR="0066459B" w:rsidRPr="0066459B" w:rsidRDefault="0066459B" w:rsidP="0066459B">
            <w:pPr>
              <w:spacing w:line="240" w:lineRule="auto"/>
              <w:jc w:val="right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</w:pPr>
            <w:r w:rsidRPr="0066459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hr-HR"/>
              </w:rPr>
              <w:t>31.500,00</w:t>
            </w:r>
          </w:p>
        </w:tc>
      </w:tr>
    </w:tbl>
    <w:p w14:paraId="234F7574" w14:textId="77777777" w:rsidR="0014356D" w:rsidRDefault="0014356D" w:rsidP="00F47FA0">
      <w:pPr>
        <w:spacing w:after="160" w:line="360" w:lineRule="auto"/>
        <w:jc w:val="both"/>
        <w:rPr>
          <w:b w:val="0"/>
          <w:sz w:val="22"/>
        </w:rPr>
      </w:pPr>
    </w:p>
    <w:p w14:paraId="3A599724" w14:textId="1781B61A" w:rsidR="0014356D" w:rsidRDefault="00602CB0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Planirani rashodi </w:t>
      </w:r>
      <w:r w:rsidR="0014356D">
        <w:rPr>
          <w:b w:val="0"/>
          <w:sz w:val="22"/>
        </w:rPr>
        <w:t xml:space="preserve">najvećim dijelom odnose </w:t>
      </w:r>
      <w:r>
        <w:rPr>
          <w:b w:val="0"/>
          <w:sz w:val="22"/>
        </w:rPr>
        <w:t xml:space="preserve">se </w:t>
      </w:r>
      <w:r w:rsidR="0014356D">
        <w:rPr>
          <w:b w:val="0"/>
          <w:sz w:val="22"/>
        </w:rPr>
        <w:t xml:space="preserve">na </w:t>
      </w:r>
      <w:r w:rsidR="0014356D" w:rsidRPr="0014356D">
        <w:rPr>
          <w:sz w:val="22"/>
        </w:rPr>
        <w:t>rashode poslovanja</w:t>
      </w:r>
      <w:r w:rsidR="0014356D">
        <w:rPr>
          <w:b w:val="0"/>
          <w:sz w:val="22"/>
        </w:rPr>
        <w:t xml:space="preserve"> u iznosu od </w:t>
      </w:r>
      <w:r w:rsidR="0066459B">
        <w:rPr>
          <w:b w:val="0"/>
          <w:sz w:val="22"/>
        </w:rPr>
        <w:t>1.545.595</w:t>
      </w:r>
      <w:r w:rsidR="0014356D">
        <w:rPr>
          <w:b w:val="0"/>
          <w:sz w:val="22"/>
        </w:rPr>
        <w:t xml:space="preserve"> eura. </w:t>
      </w:r>
    </w:p>
    <w:p w14:paraId="1A081C2B" w14:textId="3A90F928" w:rsidR="0014356D" w:rsidRDefault="0014356D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lastRenderedPageBreak/>
        <w:t xml:space="preserve">31 – Rashodi za zaposlene u iznosu od </w:t>
      </w:r>
      <w:r w:rsidR="0066459B">
        <w:rPr>
          <w:b w:val="0"/>
          <w:sz w:val="22"/>
        </w:rPr>
        <w:t xml:space="preserve">1.331.800 </w:t>
      </w:r>
      <w:r>
        <w:rPr>
          <w:b w:val="0"/>
          <w:sz w:val="22"/>
        </w:rPr>
        <w:t>eura odnose se na plaće za redovan rad, materijalna prava zaposlenih, te ostalih rashoda za zaposlene.</w:t>
      </w:r>
    </w:p>
    <w:p w14:paraId="442D5A2A" w14:textId="26379852" w:rsidR="0014356D" w:rsidRDefault="0014356D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32 – Materijalni rashodi planirani u iznosu od </w:t>
      </w:r>
      <w:r w:rsidR="0066459B">
        <w:rPr>
          <w:b w:val="0"/>
          <w:sz w:val="22"/>
        </w:rPr>
        <w:t>213.695 eura</w:t>
      </w:r>
      <w:r>
        <w:rPr>
          <w:b w:val="0"/>
          <w:sz w:val="22"/>
        </w:rPr>
        <w:t xml:space="preserve">  odnose se na naknade troškova zaposlenih kao što su</w:t>
      </w:r>
      <w:r w:rsidR="00602CB0">
        <w:rPr>
          <w:b w:val="0"/>
          <w:sz w:val="22"/>
        </w:rPr>
        <w:t>:</w:t>
      </w:r>
      <w:r>
        <w:rPr>
          <w:b w:val="0"/>
          <w:sz w:val="22"/>
        </w:rPr>
        <w:t xml:space="preserve"> dnevnice za službena putovanja, naknade za prijevoz na posao i s posla, stručno usavršavanje, troškove  za materijal i energiju te ostalo.</w:t>
      </w:r>
    </w:p>
    <w:p w14:paraId="1AE8CE1C" w14:textId="07B2B4B0" w:rsidR="00213C73" w:rsidRDefault="0014356D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34 – financijski ras</w:t>
      </w:r>
      <w:r w:rsidR="0066459B">
        <w:rPr>
          <w:b w:val="0"/>
          <w:sz w:val="22"/>
        </w:rPr>
        <w:t>hodi planirani su u iznosu od 10</w:t>
      </w:r>
      <w:r>
        <w:rPr>
          <w:b w:val="0"/>
          <w:sz w:val="22"/>
        </w:rPr>
        <w:t>0 eura za bankarske usluge, kamate te ostale ne</w:t>
      </w:r>
      <w:r w:rsidR="00602CB0">
        <w:rPr>
          <w:b w:val="0"/>
          <w:sz w:val="22"/>
        </w:rPr>
        <w:t>spomenute  financijske rashode.</w:t>
      </w:r>
    </w:p>
    <w:p w14:paraId="7037BB45" w14:textId="4992D9CE" w:rsidR="0014356D" w:rsidRDefault="0014356D" w:rsidP="00F47FA0">
      <w:pPr>
        <w:spacing w:after="160" w:line="360" w:lineRule="auto"/>
        <w:jc w:val="both"/>
        <w:rPr>
          <w:b w:val="0"/>
          <w:sz w:val="22"/>
        </w:rPr>
      </w:pPr>
      <w:r w:rsidRPr="00213C73">
        <w:rPr>
          <w:sz w:val="22"/>
        </w:rPr>
        <w:t xml:space="preserve">Rashodi za nabavu nefinancijske imovine </w:t>
      </w:r>
      <w:r>
        <w:rPr>
          <w:b w:val="0"/>
          <w:sz w:val="22"/>
        </w:rPr>
        <w:t xml:space="preserve">planirani su u iznosu od </w:t>
      </w:r>
      <w:r w:rsidR="0066459B">
        <w:rPr>
          <w:b w:val="0"/>
          <w:sz w:val="22"/>
        </w:rPr>
        <w:t xml:space="preserve">30.500 </w:t>
      </w:r>
      <w:r>
        <w:rPr>
          <w:b w:val="0"/>
          <w:sz w:val="22"/>
        </w:rPr>
        <w:t xml:space="preserve">eura. </w:t>
      </w:r>
    </w:p>
    <w:p w14:paraId="251841A0" w14:textId="0C0DBDF7" w:rsidR="00213C73" w:rsidRDefault="00213C73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41 – Rashodi za nabavu </w:t>
      </w:r>
      <w:r w:rsidR="0066459B">
        <w:rPr>
          <w:b w:val="0"/>
          <w:sz w:val="22"/>
        </w:rPr>
        <w:t>neproizvedene</w:t>
      </w:r>
      <w:r>
        <w:rPr>
          <w:b w:val="0"/>
          <w:sz w:val="22"/>
        </w:rPr>
        <w:t xml:space="preserve"> d</w:t>
      </w:r>
      <w:r w:rsidR="0066459B">
        <w:rPr>
          <w:b w:val="0"/>
          <w:sz w:val="22"/>
        </w:rPr>
        <w:t>ugotrajne imovine u iznosu od 1.5</w:t>
      </w:r>
      <w:r>
        <w:rPr>
          <w:b w:val="0"/>
          <w:sz w:val="22"/>
        </w:rPr>
        <w:t>00 eura, planirani su za ulaganje na tuđoj imovini</w:t>
      </w:r>
      <w:r w:rsidR="00602CB0">
        <w:rPr>
          <w:b w:val="0"/>
          <w:sz w:val="22"/>
        </w:rPr>
        <w:t>, odnosno</w:t>
      </w:r>
      <w:r w:rsidR="0066459B">
        <w:rPr>
          <w:b w:val="0"/>
          <w:sz w:val="22"/>
        </w:rPr>
        <w:t xml:space="preserve"> za moguće potrebe</w:t>
      </w:r>
      <w:r w:rsidR="00602CB0">
        <w:rPr>
          <w:b w:val="0"/>
          <w:sz w:val="22"/>
        </w:rPr>
        <w:t xml:space="preserve"> </w:t>
      </w:r>
      <w:r w:rsidR="0066459B">
        <w:rPr>
          <w:b w:val="0"/>
          <w:sz w:val="22"/>
        </w:rPr>
        <w:t>sanacije</w:t>
      </w:r>
      <w:r w:rsidR="00602CB0">
        <w:rPr>
          <w:b w:val="0"/>
          <w:sz w:val="22"/>
        </w:rPr>
        <w:t xml:space="preserve"> </w:t>
      </w:r>
      <w:r w:rsidR="0066459B">
        <w:rPr>
          <w:b w:val="0"/>
          <w:sz w:val="22"/>
        </w:rPr>
        <w:t>na zgradi koja je u vlasništvu osnivača škole</w:t>
      </w:r>
      <w:r>
        <w:rPr>
          <w:b w:val="0"/>
          <w:sz w:val="22"/>
        </w:rPr>
        <w:t>.</w:t>
      </w:r>
    </w:p>
    <w:p w14:paraId="2E9A5ED5" w14:textId="17AF0DAA" w:rsidR="00213C73" w:rsidRDefault="00213C73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42 – Rashodi za nabavu proizvedene dugotrajne imovine u iznosu do </w:t>
      </w:r>
      <w:r w:rsidR="0066459B">
        <w:rPr>
          <w:b w:val="0"/>
          <w:sz w:val="22"/>
        </w:rPr>
        <w:t>29.000</w:t>
      </w:r>
      <w:r>
        <w:rPr>
          <w:b w:val="0"/>
          <w:sz w:val="22"/>
        </w:rPr>
        <w:t xml:space="preserve"> eura planirani</w:t>
      </w:r>
      <w:r w:rsidR="0066459B">
        <w:rPr>
          <w:b w:val="0"/>
          <w:sz w:val="22"/>
        </w:rPr>
        <w:t xml:space="preserve"> su za  nabavu glazbene opreme i uredskog namještaja za opremanje učionica.</w:t>
      </w:r>
    </w:p>
    <w:p w14:paraId="7334E4B2" w14:textId="77777777" w:rsidR="00213C73" w:rsidRDefault="00213C73" w:rsidP="00F47FA0">
      <w:pPr>
        <w:spacing w:after="160" w:line="360" w:lineRule="auto"/>
        <w:jc w:val="both"/>
        <w:rPr>
          <w:b w:val="0"/>
          <w:sz w:val="22"/>
        </w:rPr>
      </w:pPr>
    </w:p>
    <w:p w14:paraId="4F368044" w14:textId="77777777" w:rsidR="00E55546" w:rsidRPr="00400A4D" w:rsidRDefault="00E55546" w:rsidP="00E55546">
      <w:pPr>
        <w:jc w:val="both"/>
      </w:pPr>
    </w:p>
    <w:p w14:paraId="78E3976D" w14:textId="77777777" w:rsidR="00E55546" w:rsidRDefault="00E55546" w:rsidP="00E55546">
      <w:pPr>
        <w:pStyle w:val="Naslov3"/>
        <w:numPr>
          <w:ilvl w:val="0"/>
          <w:numId w:val="12"/>
        </w:numPr>
        <w:jc w:val="both"/>
      </w:pPr>
      <w:r>
        <w:t>PRIJENOS SREDSTAVA IZ PRETHODNE GODINE I PRIJENOS SREDSTAVA U SLJEDEĆU GODINU</w:t>
      </w:r>
    </w:p>
    <w:p w14:paraId="4E3531EC" w14:textId="77777777" w:rsidR="00E55546" w:rsidRDefault="00E55546" w:rsidP="00F47FA0">
      <w:pPr>
        <w:spacing w:after="160" w:line="360" w:lineRule="auto"/>
        <w:jc w:val="both"/>
        <w:rPr>
          <w:b w:val="0"/>
          <w:sz w:val="22"/>
        </w:rPr>
      </w:pPr>
    </w:p>
    <w:p w14:paraId="69C9185A" w14:textId="6AF0AF39" w:rsidR="00213C73" w:rsidRDefault="00213C73" w:rsidP="00F47FA0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Škola nema </w:t>
      </w:r>
      <w:r w:rsidR="003A7865">
        <w:rPr>
          <w:b w:val="0"/>
          <w:sz w:val="22"/>
        </w:rPr>
        <w:t>prijenos</w:t>
      </w:r>
      <w:r w:rsidR="00E55546">
        <w:rPr>
          <w:b w:val="0"/>
          <w:sz w:val="22"/>
        </w:rPr>
        <w:t>a</w:t>
      </w:r>
      <w:r w:rsidR="003A7865">
        <w:rPr>
          <w:b w:val="0"/>
          <w:sz w:val="22"/>
        </w:rPr>
        <w:t xml:space="preserve"> viš</w:t>
      </w:r>
      <w:r>
        <w:rPr>
          <w:b w:val="0"/>
          <w:sz w:val="22"/>
        </w:rPr>
        <w:t>k</w:t>
      </w:r>
      <w:r w:rsidR="003A7865">
        <w:rPr>
          <w:b w:val="0"/>
          <w:sz w:val="22"/>
        </w:rPr>
        <w:t>a odnosno manj</w:t>
      </w:r>
      <w:r>
        <w:rPr>
          <w:b w:val="0"/>
          <w:sz w:val="22"/>
        </w:rPr>
        <w:t>k</w:t>
      </w:r>
      <w:r w:rsidR="003A7865">
        <w:rPr>
          <w:b w:val="0"/>
          <w:sz w:val="22"/>
        </w:rPr>
        <w:t>a</w:t>
      </w:r>
      <w:r w:rsidR="00E55546">
        <w:rPr>
          <w:b w:val="0"/>
          <w:sz w:val="22"/>
        </w:rPr>
        <w:t xml:space="preserve"> iz prethodne godine, te nije plani</w:t>
      </w:r>
      <w:r w:rsidR="0066459B">
        <w:rPr>
          <w:b w:val="0"/>
          <w:sz w:val="22"/>
        </w:rPr>
        <w:t>ran u financijskom planu za 2025</w:t>
      </w:r>
      <w:r w:rsidR="00E55546">
        <w:rPr>
          <w:b w:val="0"/>
          <w:sz w:val="22"/>
        </w:rPr>
        <w:t>. godinu.</w:t>
      </w:r>
    </w:p>
    <w:p w14:paraId="62B82AEE" w14:textId="77777777" w:rsidR="00D627F2" w:rsidRDefault="00D627F2" w:rsidP="00F47FA0">
      <w:pPr>
        <w:spacing w:line="360" w:lineRule="auto"/>
        <w:jc w:val="both"/>
        <w:rPr>
          <w:rFonts w:asciiTheme="majorHAnsi" w:hAnsiTheme="majorHAnsi" w:cstheme="majorHAnsi"/>
          <w:b w:val="0"/>
        </w:rPr>
      </w:pPr>
    </w:p>
    <w:p w14:paraId="4E53DE6D" w14:textId="77777777" w:rsidR="00213C73" w:rsidRPr="00CD1EBD" w:rsidRDefault="00213C73" w:rsidP="00F47FA0">
      <w:pPr>
        <w:spacing w:line="360" w:lineRule="auto"/>
        <w:jc w:val="both"/>
        <w:rPr>
          <w:rFonts w:asciiTheme="majorHAnsi" w:hAnsiTheme="majorHAnsi" w:cstheme="majorHAnsi"/>
          <w:b w:val="0"/>
        </w:rPr>
      </w:pPr>
    </w:p>
    <w:p w14:paraId="0288E001" w14:textId="77777777" w:rsidR="00D627F2" w:rsidRPr="00D627F2" w:rsidRDefault="00D627F2" w:rsidP="00F47FA0">
      <w:pPr>
        <w:spacing w:line="360" w:lineRule="auto"/>
        <w:jc w:val="both"/>
        <w:rPr>
          <w:b w:val="0"/>
          <w:sz w:val="22"/>
        </w:rPr>
      </w:pPr>
    </w:p>
    <w:p w14:paraId="58064920" w14:textId="77777777" w:rsidR="00D627F2" w:rsidRDefault="00D627F2" w:rsidP="00F47FA0">
      <w:pPr>
        <w:spacing w:line="360" w:lineRule="auto"/>
        <w:jc w:val="both"/>
      </w:pPr>
    </w:p>
    <w:p w14:paraId="04302467" w14:textId="77777777" w:rsidR="00D627F2" w:rsidRDefault="00D627F2" w:rsidP="00F47FA0">
      <w:pPr>
        <w:spacing w:line="360" w:lineRule="auto"/>
        <w:jc w:val="both"/>
      </w:pPr>
    </w:p>
    <w:p w14:paraId="45F12A61" w14:textId="77777777" w:rsidR="00FD5F68" w:rsidRPr="00FD5F68" w:rsidRDefault="00FD5F68" w:rsidP="00F47FA0">
      <w:pPr>
        <w:spacing w:line="360" w:lineRule="auto"/>
        <w:jc w:val="both"/>
        <w:rPr>
          <w:sz w:val="22"/>
        </w:rPr>
      </w:pPr>
    </w:p>
    <w:p w14:paraId="4FF3B676" w14:textId="77777777" w:rsidR="00213C73" w:rsidRDefault="00213C73" w:rsidP="00F47FA0">
      <w:pPr>
        <w:pStyle w:val="Naslov2"/>
        <w:numPr>
          <w:ilvl w:val="0"/>
          <w:numId w:val="14"/>
        </w:numPr>
        <w:jc w:val="both"/>
      </w:pPr>
      <w:r>
        <w:lastRenderedPageBreak/>
        <w:t>OBRAZLOŽENJE POSEBNOG DIJELA FINANCIJSKOG PLANA</w:t>
      </w:r>
    </w:p>
    <w:p w14:paraId="53ABA3EF" w14:textId="77777777" w:rsidR="00400A4D" w:rsidRPr="00400A4D" w:rsidRDefault="00400A4D" w:rsidP="00F47FA0">
      <w:pPr>
        <w:spacing w:line="360" w:lineRule="auto"/>
        <w:jc w:val="both"/>
      </w:pPr>
    </w:p>
    <w:p w14:paraId="7ABCE435" w14:textId="77777777" w:rsidR="004371E2" w:rsidRDefault="005B2B52" w:rsidP="00F47FA0">
      <w:pPr>
        <w:spacing w:line="360" w:lineRule="auto"/>
        <w:jc w:val="both"/>
        <w:rPr>
          <w:rFonts w:eastAsia="Times New Roman" w:cstheme="minorHAnsi"/>
          <w:b w:val="0"/>
          <w:sz w:val="22"/>
        </w:rPr>
      </w:pPr>
      <w:r>
        <w:rPr>
          <w:rFonts w:eastAsia="Times New Roman" w:cstheme="minorHAnsi"/>
          <w:b w:val="0"/>
          <w:sz w:val="22"/>
        </w:rPr>
        <w:t>Osnovni p</w:t>
      </w:r>
      <w:r w:rsidR="00932D30">
        <w:rPr>
          <w:rFonts w:eastAsia="Times New Roman" w:cstheme="minorHAnsi"/>
          <w:b w:val="0"/>
          <w:sz w:val="22"/>
        </w:rPr>
        <w:t>rogram Glazbene š</w:t>
      </w:r>
      <w:r>
        <w:rPr>
          <w:rFonts w:eastAsia="Times New Roman" w:cstheme="minorHAnsi"/>
          <w:b w:val="0"/>
          <w:sz w:val="22"/>
        </w:rPr>
        <w:t>kole Alberta Štrige Križevci je</w:t>
      </w:r>
      <w:r w:rsidR="00932D30" w:rsidRPr="001F5DDA">
        <w:rPr>
          <w:rFonts w:eastAsia="Times New Roman" w:cstheme="minorHAnsi"/>
          <w:sz w:val="22"/>
        </w:rPr>
        <w:t xml:space="preserve"> Osnovnoškolsko obrazovanje</w:t>
      </w:r>
      <w:r w:rsidR="00A33B4E">
        <w:rPr>
          <w:rFonts w:eastAsia="Times New Roman" w:cstheme="minorHAnsi"/>
          <w:b w:val="0"/>
          <w:sz w:val="22"/>
        </w:rPr>
        <w:t>.</w:t>
      </w:r>
      <w:r w:rsidR="006413EF">
        <w:rPr>
          <w:rFonts w:eastAsia="Times New Roman" w:cstheme="minorHAnsi"/>
          <w:b w:val="0"/>
          <w:sz w:val="22"/>
        </w:rPr>
        <w:t xml:space="preserve"> </w:t>
      </w:r>
      <w:r>
        <w:rPr>
          <w:rFonts w:eastAsia="Times New Roman" w:cstheme="minorHAnsi"/>
          <w:b w:val="0"/>
          <w:sz w:val="22"/>
        </w:rPr>
        <w:t xml:space="preserve">Djelatnost Škole </w:t>
      </w:r>
      <w:r w:rsidR="00A33B4E">
        <w:rPr>
          <w:rFonts w:eastAsia="Times New Roman" w:cstheme="minorHAnsi"/>
          <w:b w:val="0"/>
          <w:sz w:val="22"/>
        </w:rPr>
        <w:t>(</w:t>
      </w:r>
      <w:r w:rsidR="00A33B4E" w:rsidRPr="00A33B4E">
        <w:rPr>
          <w:rFonts w:eastAsia="Times New Roman" w:cstheme="minorHAnsi"/>
          <w:b w:val="0"/>
          <w:sz w:val="22"/>
        </w:rPr>
        <w:t>sažetak djelokruga rada proračunskog korisnika</w:t>
      </w:r>
      <w:r w:rsidR="00A33B4E">
        <w:rPr>
          <w:rFonts w:eastAsia="Times New Roman" w:cstheme="minorHAnsi"/>
          <w:b w:val="0"/>
          <w:sz w:val="22"/>
        </w:rPr>
        <w:t xml:space="preserve">) </w:t>
      </w:r>
      <w:r>
        <w:rPr>
          <w:rFonts w:eastAsia="Times New Roman" w:cstheme="minorHAnsi"/>
          <w:b w:val="0"/>
          <w:sz w:val="22"/>
        </w:rPr>
        <w:t>obuhvaća</w:t>
      </w:r>
      <w:r w:rsidR="004371E2">
        <w:rPr>
          <w:rFonts w:eastAsia="Times New Roman" w:cstheme="minorHAnsi"/>
          <w:b w:val="0"/>
          <w:sz w:val="22"/>
        </w:rPr>
        <w:t>:</w:t>
      </w:r>
    </w:p>
    <w:p w14:paraId="3B8BC408" w14:textId="74A5A011" w:rsidR="004371E2" w:rsidRPr="005C2A4B" w:rsidRDefault="004371E2" w:rsidP="00F47FA0">
      <w:pPr>
        <w:pStyle w:val="Odlomakpopisa"/>
        <w:numPr>
          <w:ilvl w:val="0"/>
          <w:numId w:val="18"/>
        </w:numPr>
        <w:spacing w:line="360" w:lineRule="auto"/>
        <w:jc w:val="both"/>
        <w:rPr>
          <w:rFonts w:eastAsia="Times New Roman" w:cstheme="minorHAnsi"/>
          <w:b w:val="0"/>
          <w:sz w:val="22"/>
        </w:rPr>
      </w:pPr>
      <w:r w:rsidRPr="005C2A4B">
        <w:rPr>
          <w:rFonts w:eastAsia="Times New Roman" w:cstheme="minorHAnsi"/>
          <w:b w:val="0"/>
          <w:sz w:val="22"/>
        </w:rPr>
        <w:t>predškolsko glazbeno obrazovanj</w:t>
      </w:r>
      <w:r w:rsidR="0066459B">
        <w:rPr>
          <w:rFonts w:eastAsia="Times New Roman" w:cstheme="minorHAnsi"/>
          <w:b w:val="0"/>
          <w:sz w:val="22"/>
        </w:rPr>
        <w:t>e Početnički solfeggio 1 i 2  (</w:t>
      </w:r>
      <w:r w:rsidR="0066459B" w:rsidRPr="0066459B">
        <w:rPr>
          <w:rFonts w:eastAsia="Times New Roman" w:cstheme="minorHAnsi"/>
          <w:b w:val="0"/>
          <w:color w:val="000000" w:themeColor="text1"/>
          <w:sz w:val="22"/>
        </w:rPr>
        <w:t>2</w:t>
      </w:r>
      <w:r w:rsidRPr="0066459B">
        <w:rPr>
          <w:rFonts w:eastAsia="Times New Roman" w:cstheme="minorHAnsi"/>
          <w:b w:val="0"/>
          <w:color w:val="000000" w:themeColor="text1"/>
          <w:sz w:val="22"/>
        </w:rPr>
        <w:t>8 polaznika</w:t>
      </w:r>
      <w:r w:rsidRPr="005C2A4B">
        <w:rPr>
          <w:rFonts w:eastAsia="Times New Roman" w:cstheme="minorHAnsi"/>
          <w:b w:val="0"/>
          <w:sz w:val="22"/>
        </w:rPr>
        <w:t>)</w:t>
      </w:r>
      <w:r w:rsidR="00932D30">
        <w:rPr>
          <w:rFonts w:eastAsia="Times New Roman" w:cstheme="minorHAnsi"/>
          <w:b w:val="0"/>
          <w:sz w:val="22"/>
        </w:rPr>
        <w:t>,</w:t>
      </w:r>
    </w:p>
    <w:p w14:paraId="7BEC4DA1" w14:textId="4E4683C2" w:rsidR="004371E2" w:rsidRPr="005C2A4B" w:rsidRDefault="004371E2" w:rsidP="00F47FA0">
      <w:pPr>
        <w:pStyle w:val="Odlomakpopisa"/>
        <w:numPr>
          <w:ilvl w:val="0"/>
          <w:numId w:val="18"/>
        </w:numPr>
        <w:spacing w:line="360" w:lineRule="auto"/>
        <w:jc w:val="both"/>
        <w:rPr>
          <w:rFonts w:eastAsia="Times New Roman" w:cstheme="minorHAnsi"/>
          <w:b w:val="0"/>
          <w:sz w:val="22"/>
        </w:rPr>
      </w:pPr>
      <w:r w:rsidRPr="005C2A4B">
        <w:rPr>
          <w:rFonts w:eastAsia="Times New Roman" w:cstheme="minorHAnsi"/>
          <w:b w:val="0"/>
          <w:sz w:val="22"/>
        </w:rPr>
        <w:t>osnovno glazbeno obrazovanje u šestogodišnjem trajanju (2</w:t>
      </w:r>
      <w:r w:rsidR="0066459B">
        <w:rPr>
          <w:rFonts w:eastAsia="Times New Roman" w:cstheme="minorHAnsi"/>
          <w:b w:val="0"/>
          <w:sz w:val="22"/>
        </w:rPr>
        <w:t>4</w:t>
      </w:r>
      <w:r w:rsidRPr="005C2A4B">
        <w:rPr>
          <w:rFonts w:eastAsia="Times New Roman" w:cstheme="minorHAnsi"/>
          <w:b w:val="0"/>
          <w:sz w:val="22"/>
        </w:rPr>
        <w:t>1 učenik)</w:t>
      </w:r>
      <w:r w:rsidR="00932D30">
        <w:rPr>
          <w:rFonts w:eastAsia="Times New Roman" w:cstheme="minorHAnsi"/>
          <w:b w:val="0"/>
          <w:sz w:val="22"/>
        </w:rPr>
        <w:t>,</w:t>
      </w:r>
    </w:p>
    <w:p w14:paraId="336B1AD1" w14:textId="5B53C17C" w:rsidR="004371E2" w:rsidRDefault="004371E2" w:rsidP="00F47FA0">
      <w:pPr>
        <w:pStyle w:val="Odlomakpopisa"/>
        <w:numPr>
          <w:ilvl w:val="0"/>
          <w:numId w:val="18"/>
        </w:numPr>
        <w:spacing w:line="360" w:lineRule="auto"/>
        <w:jc w:val="both"/>
        <w:rPr>
          <w:rFonts w:eastAsia="Times New Roman" w:cstheme="minorHAnsi"/>
          <w:b w:val="0"/>
          <w:sz w:val="22"/>
        </w:rPr>
      </w:pPr>
      <w:r w:rsidRPr="005C2A4B">
        <w:rPr>
          <w:rFonts w:eastAsia="Times New Roman" w:cstheme="minorHAnsi"/>
          <w:b w:val="0"/>
          <w:sz w:val="22"/>
        </w:rPr>
        <w:t>pripremno glazbeno obrazovanje za srednje obrazovanje u dvogodišnjem trajanju</w:t>
      </w:r>
      <w:r w:rsidR="0066459B">
        <w:rPr>
          <w:rFonts w:eastAsia="Times New Roman" w:cstheme="minorHAnsi"/>
          <w:b w:val="0"/>
          <w:sz w:val="22"/>
        </w:rPr>
        <w:t xml:space="preserve"> (8 učenika)</w:t>
      </w:r>
      <w:r w:rsidR="00932D30">
        <w:rPr>
          <w:rFonts w:eastAsia="Times New Roman" w:cstheme="minorHAnsi"/>
          <w:b w:val="0"/>
          <w:sz w:val="22"/>
        </w:rPr>
        <w:t>,</w:t>
      </w:r>
      <w:r w:rsidRPr="005C2A4B">
        <w:rPr>
          <w:rFonts w:eastAsia="Times New Roman" w:cstheme="minorHAnsi"/>
          <w:b w:val="0"/>
          <w:sz w:val="22"/>
        </w:rPr>
        <w:t xml:space="preserve"> te </w:t>
      </w:r>
    </w:p>
    <w:p w14:paraId="5D1859F2" w14:textId="72D726CA" w:rsidR="001F5DDA" w:rsidRPr="000F6946" w:rsidRDefault="004371E2" w:rsidP="00F47FA0">
      <w:pPr>
        <w:pStyle w:val="Odlomakpopisa"/>
        <w:numPr>
          <w:ilvl w:val="0"/>
          <w:numId w:val="18"/>
        </w:numPr>
        <w:spacing w:line="360" w:lineRule="auto"/>
        <w:jc w:val="both"/>
        <w:rPr>
          <w:rFonts w:eastAsia="Times New Roman" w:cstheme="minorHAnsi"/>
          <w:b w:val="0"/>
          <w:sz w:val="22"/>
        </w:rPr>
      </w:pPr>
      <w:r w:rsidRPr="00A74A1F">
        <w:rPr>
          <w:rFonts w:eastAsia="Times New Roman" w:cstheme="minorHAnsi"/>
          <w:b w:val="0"/>
          <w:sz w:val="22"/>
        </w:rPr>
        <w:t>srednje glazbeno obrazovanje</w:t>
      </w:r>
      <w:r w:rsidR="0066459B">
        <w:rPr>
          <w:rFonts w:eastAsia="Times New Roman" w:cstheme="minorHAnsi"/>
          <w:b w:val="0"/>
          <w:sz w:val="22"/>
        </w:rPr>
        <w:t xml:space="preserve"> u četverogodišnjem trajanju (53</w:t>
      </w:r>
      <w:r w:rsidRPr="00A74A1F">
        <w:rPr>
          <w:rFonts w:eastAsia="Times New Roman" w:cstheme="minorHAnsi"/>
          <w:b w:val="0"/>
          <w:sz w:val="22"/>
        </w:rPr>
        <w:t xml:space="preserve"> učenika</w:t>
      </w:r>
      <w:r w:rsidR="00932D30">
        <w:rPr>
          <w:rFonts w:eastAsia="Times New Roman" w:cstheme="minorHAnsi"/>
          <w:b w:val="0"/>
          <w:sz w:val="22"/>
        </w:rPr>
        <w:t>).</w:t>
      </w:r>
    </w:p>
    <w:p w14:paraId="0A3F8AE2" w14:textId="77777777" w:rsidR="001F5DDA" w:rsidRPr="001F5DDA" w:rsidRDefault="001F5DDA" w:rsidP="00F47FA0">
      <w:pPr>
        <w:spacing w:line="360" w:lineRule="auto"/>
        <w:jc w:val="both"/>
        <w:rPr>
          <w:b w:val="0"/>
          <w:sz w:val="22"/>
        </w:rPr>
      </w:pPr>
      <w:r w:rsidRPr="001F5DDA">
        <w:rPr>
          <w:b w:val="0"/>
          <w:sz w:val="22"/>
        </w:rPr>
        <w:t>Škola izvodi  glazbene programe   na svim razinama   obrazovanja učenika  prema utvrđ</w:t>
      </w:r>
      <w:r>
        <w:rPr>
          <w:b w:val="0"/>
          <w:sz w:val="22"/>
        </w:rPr>
        <w:t>enoj djelatnosti, sukladno</w:t>
      </w:r>
      <w:r w:rsidRPr="001F5DDA">
        <w:rPr>
          <w:b w:val="0"/>
          <w:sz w:val="22"/>
        </w:rPr>
        <w:t xml:space="preserve"> zakonskim propisima, Zakonu o odgoju i obrazovanju u osnovnoj i srednjoj školi i  Za</w:t>
      </w:r>
      <w:r>
        <w:rPr>
          <w:b w:val="0"/>
          <w:sz w:val="22"/>
        </w:rPr>
        <w:t>konu o umjetničkom obrazovanju te ostalim (</w:t>
      </w:r>
      <w:r w:rsidRPr="001F5DDA">
        <w:rPr>
          <w:b w:val="0"/>
          <w:sz w:val="22"/>
        </w:rPr>
        <w:t>Zakon  o ustanovama,  Nacionalni okvirni kurikulum,  Dr</w:t>
      </w:r>
      <w:r>
        <w:rPr>
          <w:b w:val="0"/>
          <w:sz w:val="22"/>
        </w:rPr>
        <w:t>žavni  pedagoški  standard i dr</w:t>
      </w:r>
      <w:r w:rsidRPr="001F5DDA">
        <w:rPr>
          <w:b w:val="0"/>
          <w:sz w:val="22"/>
        </w:rPr>
        <w:t>)</w:t>
      </w:r>
      <w:r>
        <w:rPr>
          <w:b w:val="0"/>
          <w:sz w:val="22"/>
        </w:rPr>
        <w:t>. U</w:t>
      </w:r>
      <w:r w:rsidRPr="001F5DDA">
        <w:rPr>
          <w:b w:val="0"/>
          <w:sz w:val="22"/>
        </w:rPr>
        <w:t xml:space="preserve">z redovne programe koji učenicima omogućavaju stjecanje znanja, razvoj vještina i sposobnosti u različitim umjetničkim područjima i razvoj njihovog kreativnog </w:t>
      </w:r>
    </w:p>
    <w:p w14:paraId="7D056097" w14:textId="77777777" w:rsidR="000F6946" w:rsidRDefault="001F5DDA" w:rsidP="00F47FA0">
      <w:pPr>
        <w:spacing w:line="360" w:lineRule="auto"/>
        <w:jc w:val="both"/>
        <w:rPr>
          <w:b w:val="0"/>
          <w:sz w:val="22"/>
        </w:rPr>
      </w:pPr>
      <w:r w:rsidRPr="001F5DDA">
        <w:rPr>
          <w:b w:val="0"/>
          <w:sz w:val="22"/>
        </w:rPr>
        <w:t xml:space="preserve">potencijala, Škola omogućuje i ostvarivanje izvannastavnih i izvanškolskih aktivnosti u  kojima se  učenicima  aktivnim  sudjelovanjem  u kulturnom životu Grada  omogućava razvoj kulturnog izražaja obzirom na tradiciju, nacionalno i civilizacijsko </w:t>
      </w:r>
      <w:r w:rsidR="00CE0541">
        <w:rPr>
          <w:b w:val="0"/>
          <w:sz w:val="22"/>
        </w:rPr>
        <w:t>kulturno i umjetničko okruženje.</w:t>
      </w:r>
      <w:r w:rsidR="000F6946">
        <w:rPr>
          <w:b w:val="0"/>
          <w:sz w:val="22"/>
        </w:rPr>
        <w:t xml:space="preserve"> </w:t>
      </w:r>
    </w:p>
    <w:p w14:paraId="50EE5434" w14:textId="571EE026" w:rsidR="008E7FA8" w:rsidRPr="00F629D7" w:rsidRDefault="00CE0541" w:rsidP="00F47FA0">
      <w:p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Za Financijski plan o</w:t>
      </w:r>
      <w:r w:rsidR="000F6946">
        <w:rPr>
          <w:b w:val="0"/>
          <w:sz w:val="22"/>
        </w:rPr>
        <w:t>d 2025. godine primjenjuje se nova</w:t>
      </w:r>
      <w:r>
        <w:rPr>
          <w:b w:val="0"/>
          <w:sz w:val="22"/>
        </w:rPr>
        <w:t xml:space="preserve"> organizacijska klasifikacija</w:t>
      </w:r>
      <w:r w:rsidR="000F6946">
        <w:rPr>
          <w:b w:val="0"/>
          <w:sz w:val="22"/>
        </w:rPr>
        <w:t>, pod programom 3304 Osnovnoškolsko obrazovanje planirane su Aktivnosti:</w:t>
      </w:r>
    </w:p>
    <w:tbl>
      <w:tblPr>
        <w:tblW w:w="9112" w:type="dxa"/>
        <w:tblLook w:val="04A0" w:firstRow="1" w:lastRow="0" w:firstColumn="1" w:lastColumn="0" w:noHBand="0" w:noVBand="1"/>
      </w:tblPr>
      <w:tblGrid>
        <w:gridCol w:w="990"/>
        <w:gridCol w:w="2757"/>
        <w:gridCol w:w="1073"/>
        <w:gridCol w:w="1073"/>
        <w:gridCol w:w="1073"/>
        <w:gridCol w:w="1073"/>
        <w:gridCol w:w="1073"/>
      </w:tblGrid>
      <w:tr w:rsidR="00CE0541" w:rsidRPr="00CE0541" w14:paraId="37E36D64" w14:textId="77777777" w:rsidTr="00CE0541">
        <w:trPr>
          <w:trHeight w:val="88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6A32338" w14:textId="77777777" w:rsidR="00CE0541" w:rsidRPr="00CE0541" w:rsidRDefault="00CE0541" w:rsidP="00CE0541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3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B8AF6E8" w14:textId="77777777" w:rsidR="00CE0541" w:rsidRPr="00CE0541" w:rsidRDefault="00CE0541" w:rsidP="00CE0541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D2EFAC6" w14:textId="77777777" w:rsidR="00CE0541" w:rsidRPr="00CE0541" w:rsidRDefault="00CE0541" w:rsidP="00CE0541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E574543" w14:textId="77777777" w:rsidR="00CE0541" w:rsidRPr="00CE0541" w:rsidRDefault="00CE0541" w:rsidP="00CE0541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508F22E" w14:textId="77777777" w:rsidR="00CE0541" w:rsidRPr="00CE0541" w:rsidRDefault="00CE0541" w:rsidP="00CE0541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Proračun za 2025.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33FBC8E" w14:textId="77777777" w:rsidR="00CE0541" w:rsidRPr="00CE0541" w:rsidRDefault="00CE0541" w:rsidP="00CE0541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Projekcija za 2026.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F31785D" w14:textId="77777777" w:rsidR="00CE0541" w:rsidRPr="00CE0541" w:rsidRDefault="00CE0541" w:rsidP="00CE0541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Projekcija za 2027.</w:t>
            </w:r>
          </w:p>
        </w:tc>
      </w:tr>
      <w:tr w:rsidR="00CE0541" w:rsidRPr="00CE0541" w14:paraId="3008D80D" w14:textId="77777777" w:rsidTr="00CE0541">
        <w:trPr>
          <w:trHeight w:val="643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547F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PROGRAM    3203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4456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OSNOVNOŠKOLSKO OBRAZOVANJE U GŠ ALBERTA ŠTRIGE KRIŽEVCI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5390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1.175.355,77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7741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1.439.409,97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DE70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6920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9C9C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0541" w:rsidRPr="00CE0541" w14:paraId="48A405E8" w14:textId="77777777" w:rsidTr="00CE0541">
        <w:trPr>
          <w:trHeight w:val="572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53A38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Aktivnost A320301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6BD6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PREDŠKOLSKI PROGRAM - MALA GLAZBENA ŠKOLA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09D06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7.854,68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D66E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9.127,00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1F57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1D3A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C24FF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0541" w:rsidRPr="00CE0541" w14:paraId="3C6867A3" w14:textId="77777777" w:rsidTr="00CE0541">
        <w:trPr>
          <w:trHeight w:val="572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62C2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Aktivnost A320302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7F45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RASHODI ZAKONSKOG STANDARDA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6F42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83.207,06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EDC0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67.516,00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CB020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7925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38CA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0541" w:rsidRPr="00CE0541" w14:paraId="7B38F51A" w14:textId="77777777" w:rsidTr="00CE0541">
        <w:trPr>
          <w:trHeight w:val="572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B248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Aktivnost A320303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5E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RASHODI IZNAD ZAKONSKOG STANDARDA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ED89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1.082.966,03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967B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1.361.439,97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D43C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DCD6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CBD1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0541" w:rsidRPr="00CE0541" w14:paraId="6F23A9F0" w14:textId="77777777" w:rsidTr="00CE0541">
        <w:trPr>
          <w:trHeight w:val="66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E107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PROGRAM    3304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8A9AE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OSNOVNOŠKOLSKO OBRAZOVANJE U GŠ ALBERTA ŠTRIGE KRIŽEVCI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2D69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EDA2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4D8D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1.576.095,00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CAB3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1.559.495,00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22DF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1.564.195,00</w:t>
            </w:r>
          </w:p>
        </w:tc>
      </w:tr>
      <w:tr w:rsidR="00CE0541" w:rsidRPr="00CE0541" w14:paraId="1A63A4A7" w14:textId="77777777" w:rsidTr="00CE0541">
        <w:trPr>
          <w:trHeight w:val="572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B4FBA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Aktivnost A330401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7001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PREDŠKOLSKI PROGRAM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C39B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0B38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2B21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E44EA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9A20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0541" w:rsidRPr="00CE0541" w14:paraId="281CAD97" w14:textId="77777777" w:rsidTr="00CE0541">
        <w:trPr>
          <w:trHeight w:val="572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6B23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Aktivnost A330402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B2111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RASHODI ZAKONSKOG STANDARDA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4CAF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C8AB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FB99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0EE41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0D01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80.700,00</w:t>
            </w:r>
          </w:p>
        </w:tc>
      </w:tr>
      <w:tr w:rsidR="00CE0541" w:rsidRPr="00CE0541" w14:paraId="6AA158A5" w14:textId="77777777" w:rsidTr="00CE0541">
        <w:trPr>
          <w:trHeight w:val="572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459B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Aktivnost A330403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73DA5" w14:textId="77777777" w:rsidR="00CE0541" w:rsidRPr="00CE0541" w:rsidRDefault="00CE0541" w:rsidP="00CE0541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RASHODI IZNAD ZAKONSKOG STANDARDA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EA57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C7C7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2CB4D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1.496.495,00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10AF" w14:textId="77777777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1.482.495,00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B689" w14:textId="6EEEB9FE" w:rsidR="00CE0541" w:rsidRPr="00CE0541" w:rsidRDefault="00CE0541" w:rsidP="00CE0541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E054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1.483.495,00</w:t>
            </w:r>
          </w:p>
        </w:tc>
      </w:tr>
    </w:tbl>
    <w:p w14:paraId="1D4A13B7" w14:textId="54730CC5" w:rsidR="005B2B52" w:rsidRDefault="005B2B52" w:rsidP="00F47FA0">
      <w:pPr>
        <w:spacing w:line="360" w:lineRule="auto"/>
        <w:jc w:val="both"/>
        <w:rPr>
          <w:b w:val="0"/>
          <w:sz w:val="22"/>
        </w:rPr>
      </w:pPr>
      <w:r w:rsidRPr="005B2B52">
        <w:rPr>
          <w:sz w:val="22"/>
        </w:rPr>
        <w:lastRenderedPageBreak/>
        <w:t>Aktivnost</w:t>
      </w:r>
      <w:r w:rsidR="000F6946">
        <w:rPr>
          <w:sz w:val="22"/>
        </w:rPr>
        <w:t xml:space="preserve"> A330401 </w:t>
      </w:r>
      <w:r>
        <w:rPr>
          <w:b w:val="0"/>
          <w:sz w:val="22"/>
        </w:rPr>
        <w:t>– predškolski program</w:t>
      </w:r>
      <w:r w:rsidR="006413EF">
        <w:rPr>
          <w:b w:val="0"/>
          <w:sz w:val="22"/>
        </w:rPr>
        <w:t>,</w:t>
      </w:r>
      <w:r>
        <w:rPr>
          <w:b w:val="0"/>
          <w:sz w:val="22"/>
        </w:rPr>
        <w:t xml:space="preserve"> prihodi su p</w:t>
      </w:r>
      <w:r w:rsidR="006413EF">
        <w:rPr>
          <w:b w:val="0"/>
          <w:sz w:val="22"/>
        </w:rPr>
        <w:t>l</w:t>
      </w:r>
      <w:r w:rsidR="008E7FA8">
        <w:rPr>
          <w:b w:val="0"/>
          <w:sz w:val="22"/>
        </w:rPr>
        <w:t xml:space="preserve">anirani u iznosu od </w:t>
      </w:r>
      <w:r w:rsidR="000F6946">
        <w:rPr>
          <w:b w:val="0"/>
          <w:sz w:val="22"/>
        </w:rPr>
        <w:t xml:space="preserve">5.600 </w:t>
      </w:r>
      <w:r w:rsidR="008E7FA8">
        <w:rPr>
          <w:b w:val="0"/>
          <w:sz w:val="22"/>
        </w:rPr>
        <w:t>eura</w:t>
      </w:r>
      <w:r w:rsidR="008B2987">
        <w:rPr>
          <w:b w:val="0"/>
          <w:sz w:val="22"/>
        </w:rPr>
        <w:t xml:space="preserve"> na izvoru 56 </w:t>
      </w:r>
      <w:r w:rsidR="008B2987" w:rsidRPr="008B2987">
        <w:rPr>
          <w:b w:val="0"/>
          <w:sz w:val="22"/>
        </w:rPr>
        <w:t>Pomoći za fiskalno izravnanje kod proračunskih korisnika</w:t>
      </w:r>
      <w:r w:rsidR="008E7FA8">
        <w:rPr>
          <w:b w:val="0"/>
          <w:sz w:val="22"/>
        </w:rPr>
        <w:t xml:space="preserve">. </w:t>
      </w:r>
      <w:r w:rsidR="000F6946">
        <w:rPr>
          <w:b w:val="0"/>
          <w:sz w:val="22"/>
        </w:rPr>
        <w:t xml:space="preserve">Odnose se na </w:t>
      </w:r>
      <w:r>
        <w:rPr>
          <w:b w:val="0"/>
          <w:sz w:val="22"/>
        </w:rPr>
        <w:t xml:space="preserve">sredstva </w:t>
      </w:r>
      <w:r w:rsidRPr="005B2B52">
        <w:rPr>
          <w:b w:val="0"/>
          <w:sz w:val="22"/>
        </w:rPr>
        <w:t>za fiskalnu održivost dječjih</w:t>
      </w:r>
      <w:r w:rsidR="000F6946">
        <w:rPr>
          <w:b w:val="0"/>
          <w:sz w:val="22"/>
        </w:rPr>
        <w:t xml:space="preserve"> vrtića za pedagošku godinu 2024./2025</w:t>
      </w:r>
      <w:r w:rsidRPr="005B2B52">
        <w:rPr>
          <w:b w:val="0"/>
          <w:sz w:val="22"/>
        </w:rPr>
        <w:t xml:space="preserve">. </w:t>
      </w:r>
    </w:p>
    <w:p w14:paraId="3DE311AC" w14:textId="065F3DEC" w:rsidR="005B2B52" w:rsidRPr="000F6946" w:rsidRDefault="005B2B52" w:rsidP="00F47FA0">
      <w:pPr>
        <w:spacing w:line="360" w:lineRule="auto"/>
        <w:jc w:val="both"/>
        <w:rPr>
          <w:b w:val="0"/>
          <w:sz w:val="22"/>
        </w:rPr>
      </w:pPr>
    </w:p>
    <w:p w14:paraId="4B29C42F" w14:textId="09101396" w:rsidR="008E7FA8" w:rsidRPr="001673E7" w:rsidRDefault="005B2B52" w:rsidP="00F47FA0">
      <w:pPr>
        <w:spacing w:line="360" w:lineRule="auto"/>
        <w:jc w:val="both"/>
        <w:rPr>
          <w:b w:val="0"/>
          <w:sz w:val="22"/>
        </w:rPr>
      </w:pPr>
      <w:r w:rsidRPr="005B2B52">
        <w:rPr>
          <w:sz w:val="22"/>
        </w:rPr>
        <w:t xml:space="preserve">Aktivnost </w:t>
      </w:r>
      <w:r w:rsidR="000F6946">
        <w:rPr>
          <w:sz w:val="22"/>
        </w:rPr>
        <w:t>A330402</w:t>
      </w:r>
      <w:r w:rsidR="00A33B4E">
        <w:rPr>
          <w:sz w:val="22"/>
        </w:rPr>
        <w:t xml:space="preserve">  - </w:t>
      </w:r>
      <w:r w:rsidR="00A33B4E">
        <w:rPr>
          <w:b w:val="0"/>
          <w:sz w:val="22"/>
        </w:rPr>
        <w:t xml:space="preserve">Rashodi zakonskog standarda odnose se na </w:t>
      </w:r>
      <w:r w:rsidR="008E7FA8">
        <w:rPr>
          <w:b w:val="0"/>
          <w:sz w:val="22"/>
        </w:rPr>
        <w:t xml:space="preserve">planirane prihode od </w:t>
      </w:r>
      <w:r w:rsidR="00A33B4E">
        <w:rPr>
          <w:b w:val="0"/>
          <w:sz w:val="22"/>
        </w:rPr>
        <w:t xml:space="preserve">pomoći izravnanja za decentralizirane funkcije u iznosu od </w:t>
      </w:r>
      <w:r w:rsidR="000F6946">
        <w:rPr>
          <w:b w:val="0"/>
          <w:sz w:val="22"/>
        </w:rPr>
        <w:t xml:space="preserve">74.000 </w:t>
      </w:r>
      <w:r w:rsidR="00A33B4E">
        <w:rPr>
          <w:b w:val="0"/>
          <w:sz w:val="22"/>
        </w:rPr>
        <w:t>eura.</w:t>
      </w:r>
      <w:r w:rsidR="008E7FA8">
        <w:rPr>
          <w:b w:val="0"/>
          <w:sz w:val="22"/>
        </w:rPr>
        <w:t xml:space="preserve"> </w:t>
      </w:r>
    </w:p>
    <w:tbl>
      <w:tblPr>
        <w:tblW w:w="9052" w:type="dxa"/>
        <w:tblLook w:val="04A0" w:firstRow="1" w:lastRow="0" w:firstColumn="1" w:lastColumn="0" w:noHBand="0" w:noVBand="1"/>
      </w:tblPr>
      <w:tblGrid>
        <w:gridCol w:w="1280"/>
        <w:gridCol w:w="4088"/>
        <w:gridCol w:w="1228"/>
        <w:gridCol w:w="1228"/>
        <w:gridCol w:w="1228"/>
      </w:tblGrid>
      <w:tr w:rsidR="000F6946" w:rsidRPr="000F6946" w14:paraId="118DC1AD" w14:textId="77777777" w:rsidTr="000F6946">
        <w:trPr>
          <w:trHeight w:val="493"/>
        </w:trPr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660924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Aktivnost A330402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796340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RASHODI ZAKONSKOG STANDARDA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07FAA59" w14:textId="0440BD43" w:rsidR="00C131AD" w:rsidRPr="00C131AD" w:rsidRDefault="00C131AD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/>
                <w:i/>
                <w:color w:val="000000"/>
                <w:sz w:val="14"/>
                <w:szCs w:val="14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bCs/>
                <w:i/>
                <w:color w:val="000000"/>
                <w:sz w:val="14"/>
                <w:szCs w:val="14"/>
                <w:lang w:eastAsia="hr-HR"/>
              </w:rPr>
              <w:t>2025.</w:t>
            </w:r>
          </w:p>
          <w:p w14:paraId="30E1586E" w14:textId="21EDF293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68420FC" w14:textId="74EFEA7E" w:rsidR="00C131AD" w:rsidRPr="00C131AD" w:rsidRDefault="00C131AD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/>
                <w:i/>
                <w:color w:val="000000"/>
                <w:sz w:val="14"/>
                <w:szCs w:val="14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bCs/>
                <w:i/>
                <w:color w:val="000000"/>
                <w:sz w:val="14"/>
                <w:szCs w:val="14"/>
                <w:lang w:eastAsia="hr-HR"/>
              </w:rPr>
              <w:t>Projekcija 2026.</w:t>
            </w:r>
          </w:p>
          <w:p w14:paraId="500A470E" w14:textId="42A95DE6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852FA5" w14:textId="1476397D" w:rsidR="00C131AD" w:rsidRPr="00C131AD" w:rsidRDefault="00C131AD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/>
                <w:i/>
                <w:color w:val="000000"/>
                <w:sz w:val="14"/>
                <w:szCs w:val="14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bCs/>
                <w:i/>
                <w:color w:val="000000"/>
                <w:sz w:val="14"/>
                <w:szCs w:val="14"/>
                <w:lang w:eastAsia="hr-HR"/>
              </w:rPr>
              <w:t>Projekcija 2027.</w:t>
            </w:r>
          </w:p>
          <w:p w14:paraId="3554CEC9" w14:textId="148662B3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80.700,00</w:t>
            </w:r>
          </w:p>
        </w:tc>
      </w:tr>
      <w:tr w:rsidR="000F6946" w:rsidRPr="000F6946" w14:paraId="44C6F78C" w14:textId="77777777" w:rsidTr="000F6946">
        <w:trPr>
          <w:trHeight w:val="57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B65C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Izvor financiranja   55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96DB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Pomoći izravnanja za decentralizirane funkcije i za fiskalno izravnanje kod proračunskih korisnika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0237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A35D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0725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80.700,00</w:t>
            </w:r>
          </w:p>
        </w:tc>
      </w:tr>
      <w:tr w:rsidR="000F6946" w:rsidRPr="000F6946" w14:paraId="5EBFCE42" w14:textId="77777777" w:rsidTr="000F6946">
        <w:trPr>
          <w:trHeight w:val="493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9F49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7CCD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90AD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D0C46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47.500,00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A196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49.200,00</w:t>
            </w:r>
          </w:p>
        </w:tc>
      </w:tr>
      <w:tr w:rsidR="000F6946" w:rsidRPr="000F6946" w14:paraId="0D79C338" w14:textId="77777777" w:rsidTr="000F6946">
        <w:trPr>
          <w:trHeight w:val="493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A0D9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B419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E1F3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45.900,00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4E9F6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47.400,00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7588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49.100,00</w:t>
            </w:r>
          </w:p>
        </w:tc>
      </w:tr>
      <w:tr w:rsidR="000F6946" w:rsidRPr="000F6946" w14:paraId="1CEE7FC5" w14:textId="77777777" w:rsidTr="000F6946">
        <w:trPr>
          <w:trHeight w:val="493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E289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552D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43B1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9473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CDA0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F6946" w:rsidRPr="000F6946" w14:paraId="2F4F6812" w14:textId="77777777" w:rsidTr="000F6946">
        <w:trPr>
          <w:trHeight w:val="493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59CC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A78C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87CA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39BB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A39B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31.500,00</w:t>
            </w:r>
          </w:p>
        </w:tc>
      </w:tr>
      <w:tr w:rsidR="000F6946" w:rsidRPr="000F6946" w14:paraId="680E3D7B" w14:textId="77777777" w:rsidTr="000F6946">
        <w:trPr>
          <w:trHeight w:val="493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850A2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2561" w14:textId="77777777" w:rsidR="000F6946" w:rsidRPr="000F6946" w:rsidRDefault="000F6946" w:rsidP="000F6946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BB80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FF5C" w14:textId="77777777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2870" w14:textId="6D232103" w:rsidR="000F6946" w:rsidRPr="000F6946" w:rsidRDefault="000F6946" w:rsidP="000F6946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0F6946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31.500,00</w:t>
            </w:r>
          </w:p>
        </w:tc>
      </w:tr>
    </w:tbl>
    <w:p w14:paraId="25EDE33E" w14:textId="77777777" w:rsidR="00A33B4E" w:rsidRDefault="00A33B4E" w:rsidP="00F47FA0">
      <w:pPr>
        <w:spacing w:line="360" w:lineRule="auto"/>
        <w:jc w:val="both"/>
        <w:rPr>
          <w:sz w:val="22"/>
        </w:rPr>
      </w:pPr>
    </w:p>
    <w:p w14:paraId="3233893B" w14:textId="517F1426" w:rsidR="00BE5672" w:rsidRDefault="00C54F18" w:rsidP="00F47FA0">
      <w:pPr>
        <w:spacing w:line="360" w:lineRule="auto"/>
        <w:jc w:val="both"/>
        <w:rPr>
          <w:b w:val="0"/>
          <w:sz w:val="22"/>
        </w:rPr>
      </w:pPr>
      <w:r w:rsidRPr="00BE5672">
        <w:rPr>
          <w:sz w:val="22"/>
        </w:rPr>
        <w:t>Rashodi poslovanja</w:t>
      </w:r>
      <w:r>
        <w:rPr>
          <w:b w:val="0"/>
          <w:sz w:val="22"/>
        </w:rPr>
        <w:t xml:space="preserve"> unutar aktivnosti </w:t>
      </w:r>
      <w:r w:rsidR="00BE5672">
        <w:rPr>
          <w:b w:val="0"/>
          <w:sz w:val="22"/>
        </w:rPr>
        <w:t>A</w:t>
      </w:r>
      <w:r w:rsidR="000F6946">
        <w:rPr>
          <w:b w:val="0"/>
          <w:sz w:val="22"/>
        </w:rPr>
        <w:t>330402</w:t>
      </w:r>
      <w:r w:rsidR="00BE5672">
        <w:rPr>
          <w:b w:val="0"/>
          <w:sz w:val="22"/>
        </w:rPr>
        <w:t xml:space="preserve"> zakonskog standarda</w:t>
      </w:r>
      <w:r w:rsidR="000F6946">
        <w:rPr>
          <w:b w:val="0"/>
          <w:sz w:val="22"/>
        </w:rPr>
        <w:t xml:space="preserve">, </w:t>
      </w:r>
      <w:r w:rsidR="00BE5672">
        <w:rPr>
          <w:b w:val="0"/>
          <w:sz w:val="22"/>
        </w:rPr>
        <w:t>d</w:t>
      </w:r>
      <w:r w:rsidR="000F6946">
        <w:rPr>
          <w:b w:val="0"/>
          <w:sz w:val="22"/>
        </w:rPr>
        <w:t>ecentralizirane funkcije za 2025</w:t>
      </w:r>
      <w:r w:rsidR="00BE5672">
        <w:rPr>
          <w:b w:val="0"/>
          <w:sz w:val="22"/>
        </w:rPr>
        <w:t>. godinu</w:t>
      </w:r>
      <w:r>
        <w:rPr>
          <w:b w:val="0"/>
          <w:sz w:val="22"/>
        </w:rPr>
        <w:t xml:space="preserve"> u iznosu od </w:t>
      </w:r>
      <w:r w:rsidR="000F6946">
        <w:rPr>
          <w:b w:val="0"/>
          <w:sz w:val="22"/>
        </w:rPr>
        <w:t>74.000</w:t>
      </w:r>
      <w:r>
        <w:rPr>
          <w:b w:val="0"/>
          <w:sz w:val="22"/>
        </w:rPr>
        <w:t xml:space="preserve"> eura. Odnose se najvećim dijelom na rashode za materijal i energiju (322) u iznosu od </w:t>
      </w:r>
      <w:r w:rsidR="006D2325">
        <w:rPr>
          <w:b w:val="0"/>
          <w:sz w:val="22"/>
        </w:rPr>
        <w:t>17.800</w:t>
      </w:r>
      <w:r>
        <w:rPr>
          <w:b w:val="0"/>
          <w:sz w:val="22"/>
        </w:rPr>
        <w:t xml:space="preserve"> eura, </w:t>
      </w:r>
      <w:r w:rsidR="00BE5672">
        <w:rPr>
          <w:b w:val="0"/>
          <w:sz w:val="22"/>
        </w:rPr>
        <w:t xml:space="preserve">rashode za zaposlene (321) u iznosu od </w:t>
      </w:r>
      <w:r w:rsidR="006D2325">
        <w:rPr>
          <w:b w:val="0"/>
          <w:sz w:val="22"/>
        </w:rPr>
        <w:t>14.500</w:t>
      </w:r>
      <w:r w:rsidR="00BE5672">
        <w:rPr>
          <w:b w:val="0"/>
          <w:sz w:val="22"/>
        </w:rPr>
        <w:t xml:space="preserve"> eura, </w:t>
      </w:r>
      <w:r>
        <w:rPr>
          <w:b w:val="0"/>
          <w:sz w:val="22"/>
        </w:rPr>
        <w:t>rashode za uslug</w:t>
      </w:r>
      <w:r w:rsidR="006D2325">
        <w:rPr>
          <w:b w:val="0"/>
          <w:sz w:val="22"/>
        </w:rPr>
        <w:t>e (323) u iznosu od</w:t>
      </w:r>
      <w:r>
        <w:rPr>
          <w:b w:val="0"/>
          <w:sz w:val="22"/>
        </w:rPr>
        <w:t xml:space="preserve"> </w:t>
      </w:r>
      <w:r w:rsidR="006D2325">
        <w:rPr>
          <w:b w:val="0"/>
          <w:sz w:val="22"/>
        </w:rPr>
        <w:t>11.300 - obvezni i preventivni zdravstveni pregledi zaposlenika</w:t>
      </w:r>
      <w:r>
        <w:rPr>
          <w:b w:val="0"/>
          <w:sz w:val="22"/>
        </w:rPr>
        <w:t xml:space="preserve">, računalne usluge, </w:t>
      </w:r>
      <w:r w:rsidR="006D2325">
        <w:rPr>
          <w:b w:val="0"/>
          <w:sz w:val="22"/>
        </w:rPr>
        <w:t xml:space="preserve">komunalne usluge, te </w:t>
      </w:r>
      <w:r>
        <w:rPr>
          <w:b w:val="0"/>
          <w:sz w:val="22"/>
        </w:rPr>
        <w:t>ostali nespomenuti rashodi poslovanja kao što su pristojbe i naknad</w:t>
      </w:r>
      <w:r w:rsidR="00BE5672">
        <w:rPr>
          <w:b w:val="0"/>
          <w:sz w:val="22"/>
        </w:rPr>
        <w:t>e, članarine  i norme. Financijski ras</w:t>
      </w:r>
      <w:r w:rsidR="006D2325">
        <w:rPr>
          <w:b w:val="0"/>
          <w:sz w:val="22"/>
        </w:rPr>
        <w:t>hodi planirani su u iznosu od 10</w:t>
      </w:r>
      <w:r w:rsidR="00BE5672">
        <w:rPr>
          <w:b w:val="0"/>
          <w:sz w:val="22"/>
        </w:rPr>
        <w:t>0 eura.</w:t>
      </w:r>
      <w:r w:rsidR="006413EF">
        <w:rPr>
          <w:b w:val="0"/>
          <w:sz w:val="22"/>
        </w:rPr>
        <w:t xml:space="preserve"> </w:t>
      </w:r>
      <w:r w:rsidR="00BE5672" w:rsidRPr="00BE5672">
        <w:rPr>
          <w:sz w:val="22"/>
        </w:rPr>
        <w:t>Rashodi za nabavu nefinancijske imovne</w:t>
      </w:r>
      <w:r w:rsidR="00BE5672">
        <w:rPr>
          <w:b w:val="0"/>
          <w:sz w:val="22"/>
        </w:rPr>
        <w:t xml:space="preserve"> planirani su u</w:t>
      </w:r>
      <w:r w:rsidR="00602CB0">
        <w:rPr>
          <w:b w:val="0"/>
          <w:sz w:val="22"/>
        </w:rPr>
        <w:t>nutar aktivnosti u</w:t>
      </w:r>
      <w:r w:rsidR="00BE5672">
        <w:rPr>
          <w:b w:val="0"/>
          <w:sz w:val="22"/>
        </w:rPr>
        <w:t xml:space="preserve"> iznosu od </w:t>
      </w:r>
      <w:r w:rsidR="006D2325">
        <w:rPr>
          <w:b w:val="0"/>
          <w:sz w:val="22"/>
        </w:rPr>
        <w:t>28.000</w:t>
      </w:r>
      <w:r w:rsidR="00BE5672">
        <w:rPr>
          <w:b w:val="0"/>
          <w:sz w:val="22"/>
        </w:rPr>
        <w:t xml:space="preserve"> eura </w:t>
      </w:r>
      <w:r w:rsidR="006D2325">
        <w:rPr>
          <w:b w:val="0"/>
          <w:sz w:val="22"/>
        </w:rPr>
        <w:t xml:space="preserve">za </w:t>
      </w:r>
      <w:r w:rsidR="00BE5672">
        <w:rPr>
          <w:b w:val="0"/>
          <w:sz w:val="22"/>
        </w:rPr>
        <w:t>nab</w:t>
      </w:r>
      <w:r w:rsidR="006D2325">
        <w:rPr>
          <w:b w:val="0"/>
          <w:sz w:val="22"/>
        </w:rPr>
        <w:t xml:space="preserve">avu glazbene i uredske opreme, </w:t>
      </w:r>
      <w:r w:rsidR="00BE5672">
        <w:rPr>
          <w:b w:val="0"/>
          <w:sz w:val="22"/>
        </w:rPr>
        <w:t>namještaja.</w:t>
      </w:r>
    </w:p>
    <w:p w14:paraId="7E246FC0" w14:textId="77777777" w:rsidR="00AC0182" w:rsidRDefault="00AC0182" w:rsidP="00F47FA0">
      <w:pPr>
        <w:spacing w:line="360" w:lineRule="auto"/>
        <w:jc w:val="both"/>
        <w:rPr>
          <w:b w:val="0"/>
          <w:sz w:val="22"/>
        </w:rPr>
      </w:pPr>
    </w:p>
    <w:tbl>
      <w:tblPr>
        <w:tblW w:w="9099" w:type="dxa"/>
        <w:tblLook w:val="04A0" w:firstRow="1" w:lastRow="0" w:firstColumn="1" w:lastColumn="0" w:noHBand="0" w:noVBand="1"/>
      </w:tblPr>
      <w:tblGrid>
        <w:gridCol w:w="1285"/>
        <w:gridCol w:w="4112"/>
        <w:gridCol w:w="1234"/>
        <w:gridCol w:w="1234"/>
        <w:gridCol w:w="1234"/>
      </w:tblGrid>
      <w:tr w:rsidR="00C131AD" w:rsidRPr="00C131AD" w14:paraId="366AD050" w14:textId="77777777" w:rsidTr="00C131AD"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8DFA5C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Aktivnost A330403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CA478E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RASHODI IZNAD ZAKONSKOG STANDARDA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27EBE6" w14:textId="1625042C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4"/>
                <w:szCs w:val="14"/>
                <w:lang w:eastAsia="hr-HR"/>
              </w:rPr>
              <w:t>2025.</w:t>
            </w:r>
            <w:r w:rsidRPr="00C131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br/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.</w:t>
            </w:r>
            <w:r w:rsidRPr="00C131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496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.</w:t>
            </w:r>
            <w:r w:rsidRPr="00C131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495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91C42E" w14:textId="7194F4DF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Projekcija 2026.</w:t>
            </w:r>
            <w:r w:rsidRPr="00C131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br/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.</w:t>
            </w:r>
            <w:r w:rsidRPr="00C131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482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.</w:t>
            </w:r>
            <w:r w:rsidRPr="00C131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495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1FC239" w14:textId="71DB76BC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Projekcija 2027.</w:t>
            </w:r>
            <w:r w:rsidRPr="00C131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br/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.</w:t>
            </w:r>
            <w:r w:rsidRPr="00C131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483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.</w:t>
            </w:r>
            <w:r w:rsidRPr="00C131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495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C131AD" w:rsidRPr="00C131AD" w14:paraId="790C22D8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621B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   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85DD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Opći prihodi i primici - za proračunske korisnike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D526A3E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A922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6AAC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9.000,00</w:t>
            </w:r>
          </w:p>
        </w:tc>
      </w:tr>
      <w:tr w:rsidR="00C131AD" w:rsidRPr="00C131AD" w14:paraId="3739CAAC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BAEB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AC5B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3BCD082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06EF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D478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9.000,00</w:t>
            </w:r>
          </w:p>
        </w:tc>
      </w:tr>
      <w:tr w:rsidR="00C131AD" w:rsidRPr="00C131AD" w14:paraId="331FDF6B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0279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BB90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CF07AD2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BFB4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2825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9.000,00</w:t>
            </w:r>
          </w:p>
        </w:tc>
      </w:tr>
      <w:tr w:rsidR="00C131AD" w:rsidRPr="00C131AD" w14:paraId="4F24D7C7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ECC0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   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97CA2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proračunskih korisnika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75F287E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5B36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26F8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7.900,00</w:t>
            </w:r>
          </w:p>
        </w:tc>
      </w:tr>
      <w:tr w:rsidR="00C131AD" w:rsidRPr="00C131AD" w14:paraId="567B44A2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C568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1800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3257D15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7A9A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35F9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7.900,00</w:t>
            </w:r>
          </w:p>
        </w:tc>
      </w:tr>
      <w:tr w:rsidR="00C131AD" w:rsidRPr="00C131AD" w14:paraId="1DB6F2F8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D703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77F7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C3C0B75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6158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3EA4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C131AD" w:rsidRPr="00C131AD" w14:paraId="10923CC6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E252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2F8A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A52B379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09D8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251A0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3.900,00</w:t>
            </w:r>
          </w:p>
        </w:tc>
      </w:tr>
      <w:tr w:rsidR="00C131AD" w:rsidRPr="00C131AD" w14:paraId="1CC1BC4B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33A6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   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383B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Prihodi proračunskih korisnika po posebnim propisima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11DE982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38.400,00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CAF0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38.400,00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D3833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38.400,00</w:t>
            </w:r>
          </w:p>
        </w:tc>
      </w:tr>
      <w:tr w:rsidR="00C131AD" w:rsidRPr="00C131AD" w14:paraId="6F91018B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52D3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50BA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12CD4DF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36.900,00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5F07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7EA9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35.500,00</w:t>
            </w:r>
          </w:p>
        </w:tc>
      </w:tr>
      <w:tr w:rsidR="00C131AD" w:rsidRPr="00C131AD" w14:paraId="70B043C9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1DEB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93EA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EFC6627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36.900,00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C076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1D9F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35.500,00</w:t>
            </w:r>
          </w:p>
        </w:tc>
      </w:tr>
      <w:tr w:rsidR="00C131AD" w:rsidRPr="00C131AD" w14:paraId="777A1AFD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6CDB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lastRenderedPageBreak/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EAB1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1B1800A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9BD4E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F942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2.900,00</w:t>
            </w:r>
          </w:p>
        </w:tc>
      </w:tr>
      <w:tr w:rsidR="00C131AD" w:rsidRPr="00C131AD" w14:paraId="1B7BA75D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A423A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72ED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7F4CF5A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3A70E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AB7D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2.900,00</w:t>
            </w:r>
          </w:p>
        </w:tc>
      </w:tr>
      <w:tr w:rsidR="00C131AD" w:rsidRPr="00C131AD" w14:paraId="53F6D821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0632A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   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92DEE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Prihodi iz drugih proračuna te ostalih subjekata unutar općeg proračuna koje ostvaruju proračunski korisnici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DE3DE0C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1.427.900,00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635B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1.427.900,00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4A3D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1.427.900,00</w:t>
            </w:r>
          </w:p>
        </w:tc>
      </w:tr>
      <w:tr w:rsidR="00C131AD" w:rsidRPr="00C131AD" w14:paraId="47B281EB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5F40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FE5A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EB2B650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1.427.900,00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D907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1.427.900,00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C3B2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1.427.900,00</w:t>
            </w:r>
          </w:p>
        </w:tc>
      </w:tr>
      <w:tr w:rsidR="00C131AD" w:rsidRPr="00C131AD" w14:paraId="584D71B5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F0C2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1AE4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42F838E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1.327.800,00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B9A1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1.327.800,00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FD34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1.327.800,00</w:t>
            </w:r>
          </w:p>
        </w:tc>
      </w:tr>
      <w:tr w:rsidR="00C131AD" w:rsidRPr="00C131AD" w14:paraId="1A8A8CF1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00FA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3C0E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BC6B8A1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100.100,00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E6A2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100.100,00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AF4B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100.100,00</w:t>
            </w:r>
          </w:p>
        </w:tc>
      </w:tr>
      <w:tr w:rsidR="00C131AD" w:rsidRPr="00C131AD" w14:paraId="4C75884F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B1F9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   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6EAE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koje ostvaruju proračunski korisnici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4EFDF27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C21E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3E8C3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250,00</w:t>
            </w:r>
          </w:p>
        </w:tc>
      </w:tr>
      <w:tr w:rsidR="00C131AD" w:rsidRPr="00C131AD" w14:paraId="0DB9614E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281F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1CE7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144BC7C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B07A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DA1D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250,00</w:t>
            </w:r>
          </w:p>
        </w:tc>
      </w:tr>
      <w:tr w:rsidR="00C131AD" w:rsidRPr="00C131AD" w14:paraId="14090F4A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ADDA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46BC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51E592A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62F2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3AAB7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250,00</w:t>
            </w:r>
          </w:p>
        </w:tc>
      </w:tr>
      <w:tr w:rsidR="00C131AD" w:rsidRPr="00C131AD" w14:paraId="589B469E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576F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   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1717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Prihodi od prodaje ili zamjene nefinancijske imovine kod proračunskih korisnika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F29980F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54F5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2F38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C131AD" w:rsidRPr="00C131AD" w14:paraId="5BF15021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FBFB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FAB31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5575CEE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E00A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C7B6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C131AD" w:rsidRPr="00C131AD" w14:paraId="7B91D2DF" w14:textId="77777777" w:rsidTr="00C131AD"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F8F9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5362" w14:textId="77777777" w:rsidR="00C131AD" w:rsidRPr="00C131AD" w:rsidRDefault="00C131AD" w:rsidP="00C131AD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4AA91CC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059E" w14:textId="77777777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5550" w14:textId="460E17C0" w:rsidR="00C131AD" w:rsidRPr="00C131AD" w:rsidRDefault="00C131AD" w:rsidP="00C131AD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C131AD">
              <w:rPr>
                <w:rFonts w:ascii="Calibri" w:eastAsia="Times New Roman" w:hAnsi="Calibri" w:cs="Calibri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</w:tbl>
    <w:p w14:paraId="24326F36" w14:textId="77777777" w:rsidR="00ED23C5" w:rsidRDefault="00ED23C5" w:rsidP="00F47FA0">
      <w:pPr>
        <w:spacing w:line="360" w:lineRule="auto"/>
        <w:jc w:val="both"/>
        <w:rPr>
          <w:b w:val="0"/>
          <w:sz w:val="22"/>
        </w:rPr>
      </w:pPr>
    </w:p>
    <w:p w14:paraId="3DE12C68" w14:textId="2F9C1DFB" w:rsidR="00AC0182" w:rsidRDefault="006413EF" w:rsidP="00F47FA0">
      <w:pPr>
        <w:spacing w:line="360" w:lineRule="auto"/>
        <w:jc w:val="both"/>
        <w:rPr>
          <w:b w:val="0"/>
          <w:sz w:val="22"/>
        </w:rPr>
      </w:pPr>
      <w:r w:rsidRPr="00173AF1">
        <w:rPr>
          <w:b w:val="0"/>
          <w:sz w:val="22"/>
        </w:rPr>
        <w:t>Rashodi</w:t>
      </w:r>
      <w:r>
        <w:rPr>
          <w:sz w:val="22"/>
        </w:rPr>
        <w:t xml:space="preserve"> </w:t>
      </w:r>
      <w:r>
        <w:rPr>
          <w:b w:val="0"/>
          <w:sz w:val="22"/>
        </w:rPr>
        <w:t xml:space="preserve">unutar </w:t>
      </w:r>
      <w:r w:rsidR="00C131AD">
        <w:rPr>
          <w:sz w:val="22"/>
        </w:rPr>
        <w:t>A</w:t>
      </w:r>
      <w:r w:rsidRPr="00173AF1">
        <w:rPr>
          <w:sz w:val="22"/>
        </w:rPr>
        <w:t>ktivnosti A</w:t>
      </w:r>
      <w:r w:rsidR="00C131AD">
        <w:rPr>
          <w:sz w:val="22"/>
        </w:rPr>
        <w:t>330403</w:t>
      </w:r>
      <w:r>
        <w:rPr>
          <w:b w:val="0"/>
          <w:sz w:val="22"/>
        </w:rPr>
        <w:t xml:space="preserve"> iznad zakonskog standarda</w:t>
      </w:r>
      <w:r w:rsidR="00602CB0">
        <w:rPr>
          <w:b w:val="0"/>
          <w:sz w:val="22"/>
        </w:rPr>
        <w:t>,</w:t>
      </w:r>
      <w:r>
        <w:rPr>
          <w:b w:val="0"/>
          <w:sz w:val="22"/>
        </w:rPr>
        <w:t xml:space="preserve"> planirani su u iznosu od </w:t>
      </w:r>
      <w:r w:rsidR="00C131AD">
        <w:rPr>
          <w:b w:val="0"/>
          <w:sz w:val="22"/>
        </w:rPr>
        <w:t>1.496.495</w:t>
      </w:r>
      <w:r>
        <w:rPr>
          <w:b w:val="0"/>
          <w:sz w:val="22"/>
        </w:rPr>
        <w:t xml:space="preserve"> eura. Najvećim dijelom odnose se na rashode</w:t>
      </w:r>
      <w:r w:rsidR="00173AF1">
        <w:rPr>
          <w:b w:val="0"/>
          <w:sz w:val="22"/>
        </w:rPr>
        <w:t xml:space="preserve"> za zaposlene</w:t>
      </w:r>
      <w:r>
        <w:rPr>
          <w:b w:val="0"/>
          <w:sz w:val="22"/>
        </w:rPr>
        <w:t xml:space="preserve"> financirane iz prihoda drugih proračuna unutar općeg proračuna u iznosu od </w:t>
      </w:r>
      <w:r w:rsidR="007C6B40">
        <w:rPr>
          <w:b w:val="0"/>
          <w:sz w:val="22"/>
        </w:rPr>
        <w:t>1.427.900</w:t>
      </w:r>
      <w:r>
        <w:rPr>
          <w:b w:val="0"/>
          <w:sz w:val="22"/>
        </w:rPr>
        <w:t xml:space="preserve"> eura. Rashodi financirani iz nadležnog </w:t>
      </w:r>
      <w:r w:rsidR="007C6B40">
        <w:rPr>
          <w:b w:val="0"/>
          <w:sz w:val="22"/>
        </w:rPr>
        <w:t xml:space="preserve">gradskog </w:t>
      </w:r>
      <w:r>
        <w:rPr>
          <w:b w:val="0"/>
          <w:sz w:val="22"/>
        </w:rPr>
        <w:t xml:space="preserve">proračuna planirani su u iznosu od </w:t>
      </w:r>
      <w:r w:rsidR="007C6B40">
        <w:rPr>
          <w:b w:val="0"/>
          <w:sz w:val="22"/>
        </w:rPr>
        <w:t>22.000</w:t>
      </w:r>
      <w:r>
        <w:rPr>
          <w:b w:val="0"/>
          <w:sz w:val="22"/>
        </w:rPr>
        <w:t xml:space="preserve"> eura. Odnose na </w:t>
      </w:r>
      <w:r w:rsidR="007C6B40">
        <w:rPr>
          <w:b w:val="0"/>
          <w:sz w:val="22"/>
        </w:rPr>
        <w:t>troškove izrade dokumentarnog filma povodom 80. obljetnice postojanja Glazbene škole.</w:t>
      </w:r>
    </w:p>
    <w:p w14:paraId="027157B2" w14:textId="4E6E5A5E" w:rsidR="00173AF1" w:rsidRDefault="00173AF1" w:rsidP="00F47FA0">
      <w:p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Unutar aktivnosti pl</w:t>
      </w:r>
      <w:r w:rsidR="007C6B40">
        <w:rPr>
          <w:b w:val="0"/>
          <w:sz w:val="22"/>
        </w:rPr>
        <w:t>anirani su rashodi za zaposlene, rashodi poslovanja</w:t>
      </w:r>
      <w:r w:rsidR="008E4F0B">
        <w:rPr>
          <w:b w:val="0"/>
          <w:sz w:val="22"/>
        </w:rPr>
        <w:t xml:space="preserve">, </w:t>
      </w:r>
      <w:r w:rsidR="007C6B40">
        <w:rPr>
          <w:b w:val="0"/>
          <w:sz w:val="22"/>
        </w:rPr>
        <w:t xml:space="preserve">te rashodi za nabavu nefinancijske imovine financirani </w:t>
      </w:r>
      <w:r>
        <w:rPr>
          <w:b w:val="0"/>
          <w:sz w:val="22"/>
        </w:rPr>
        <w:t xml:space="preserve">prihodima po posebnim propisima (participacija za učenike) u iznosu od </w:t>
      </w:r>
      <w:r w:rsidR="007C6B40">
        <w:rPr>
          <w:b w:val="0"/>
          <w:sz w:val="22"/>
        </w:rPr>
        <w:t>38.400 eura te vlastitim prihodima u iznosu od 7.900 eura (prihodi od iznajmljivanja glazbenih instrumenata).</w:t>
      </w:r>
    </w:p>
    <w:p w14:paraId="346B65C2" w14:textId="6791D62D" w:rsidR="007C6B40" w:rsidRDefault="007C6B40" w:rsidP="00F47FA0">
      <w:p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Planirani su p</w:t>
      </w:r>
      <w:r w:rsidR="00173AF1">
        <w:rPr>
          <w:b w:val="0"/>
          <w:sz w:val="22"/>
        </w:rPr>
        <w:t xml:space="preserve">rihodi od </w:t>
      </w:r>
      <w:r>
        <w:rPr>
          <w:b w:val="0"/>
          <w:sz w:val="22"/>
        </w:rPr>
        <w:t>nagrada - donacija u iznosu od 250 eura te prihodi od prodaje stanova u iznosu od 45,00 eura.</w:t>
      </w:r>
    </w:p>
    <w:p w14:paraId="60D262B3" w14:textId="7DA69182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7A291D30" w14:textId="35ED1E72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64B5DE18" w14:textId="749EF523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112F3DD3" w14:textId="31391B6C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76DDDEAA" w14:textId="6D1A5281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25DC2237" w14:textId="66EB0555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61386A0A" w14:textId="46313473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68B5EE00" w14:textId="62A071A6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4034DAA0" w14:textId="587971EF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4614B32B" w14:textId="7CFF2713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638AEE73" w14:textId="133CBCC8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1C22F822" w14:textId="6110A47B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5682E3B7" w14:textId="0C2805F9" w:rsidR="007C6B40" w:rsidRDefault="007C6B40" w:rsidP="00F47FA0">
      <w:pPr>
        <w:spacing w:line="360" w:lineRule="auto"/>
        <w:jc w:val="both"/>
        <w:rPr>
          <w:b w:val="0"/>
          <w:sz w:val="22"/>
        </w:rPr>
      </w:pPr>
    </w:p>
    <w:p w14:paraId="01951189" w14:textId="418193A9" w:rsidR="007C6B40" w:rsidRDefault="007C6B40" w:rsidP="00F47FA0">
      <w:pPr>
        <w:spacing w:line="360" w:lineRule="auto"/>
        <w:jc w:val="both"/>
        <w:rPr>
          <w:b w:val="0"/>
          <w:sz w:val="22"/>
        </w:rPr>
      </w:pPr>
      <w:bookmarkStart w:id="0" w:name="_GoBack"/>
      <w:bookmarkEnd w:id="0"/>
    </w:p>
    <w:p w14:paraId="43549D31" w14:textId="77777777" w:rsidR="001673E7" w:rsidRPr="001673E7" w:rsidRDefault="001673E7" w:rsidP="001673E7">
      <w:pPr>
        <w:pStyle w:val="Naslov3"/>
        <w:rPr>
          <w:u w:val="none"/>
        </w:rPr>
      </w:pPr>
      <w:r w:rsidRPr="001673E7">
        <w:rPr>
          <w:u w:val="none"/>
        </w:rPr>
        <w:lastRenderedPageBreak/>
        <w:t>POSTAVLJENI CILJEVI</w:t>
      </w:r>
      <w:r w:rsidR="00086DD4">
        <w:rPr>
          <w:u w:val="none"/>
        </w:rPr>
        <w:t>, POKAZATELJI USPJEŠNOSTI</w:t>
      </w:r>
      <w:r w:rsidRPr="001673E7">
        <w:rPr>
          <w:u w:val="none"/>
        </w:rPr>
        <w:t xml:space="preserve"> I GODIŠNJI PLAN RADA ŠKOLE</w:t>
      </w:r>
    </w:p>
    <w:p w14:paraId="201F4788" w14:textId="77777777" w:rsidR="001673E7" w:rsidRPr="001673E7" w:rsidRDefault="001673E7" w:rsidP="00F47FA0">
      <w:pPr>
        <w:spacing w:line="360" w:lineRule="auto"/>
        <w:jc w:val="both"/>
        <w:rPr>
          <w:color w:val="323E4F" w:themeColor="text2" w:themeShade="BF"/>
          <w:sz w:val="22"/>
        </w:rPr>
      </w:pPr>
    </w:p>
    <w:p w14:paraId="284FD0D6" w14:textId="42E1789C" w:rsidR="00F47FA0" w:rsidRPr="00432F42" w:rsidRDefault="00F47FA0" w:rsidP="00F47FA0">
      <w:pPr>
        <w:spacing w:line="360" w:lineRule="auto"/>
        <w:jc w:val="both"/>
        <w:rPr>
          <w:sz w:val="22"/>
        </w:rPr>
      </w:pPr>
      <w:r w:rsidRPr="00F47FA0">
        <w:rPr>
          <w:sz w:val="22"/>
        </w:rPr>
        <w:t>Postavljeni ciljevi i programi glazbenog obrazovanja  usklađeni  i razrađeni  su  Školskim kurikulumom i Godišnjim planom i programom Škole.</w:t>
      </w:r>
    </w:p>
    <w:p w14:paraId="190B63C2" w14:textId="77777777" w:rsidR="00F47FA0" w:rsidRPr="00F47FA0" w:rsidRDefault="00F47FA0" w:rsidP="00F47FA0">
      <w:pPr>
        <w:spacing w:line="360" w:lineRule="auto"/>
        <w:jc w:val="both"/>
        <w:rPr>
          <w:b w:val="0"/>
          <w:sz w:val="22"/>
        </w:rPr>
      </w:pPr>
      <w:r w:rsidRPr="00F47FA0">
        <w:rPr>
          <w:b w:val="0"/>
          <w:sz w:val="22"/>
        </w:rPr>
        <w:t>Organiziranjem dodatnih programa - javnih nastupa i priprema za smotre i natjecanja kod učenika se, uz razvoj specifičnih vještina, razvija samopouzdanje i sigurnost prilikom javnih nastupa, proširuje sposobnost percepcije, razvija sposobnost uoč</w:t>
      </w:r>
      <w:r>
        <w:rPr>
          <w:b w:val="0"/>
          <w:sz w:val="22"/>
        </w:rPr>
        <w:t>avanja umjetnički vrijednog, stje</w:t>
      </w:r>
      <w:r w:rsidRPr="00F47FA0">
        <w:rPr>
          <w:b w:val="0"/>
          <w:sz w:val="22"/>
        </w:rPr>
        <w:t xml:space="preserve">če iskustvo timskog rada, razvija odgovornost i potreba aktivnog sudjelovanja u kulturnom životu grada. </w:t>
      </w:r>
    </w:p>
    <w:p w14:paraId="64FEBDED" w14:textId="0DEC11D0" w:rsidR="00F47FA0" w:rsidRPr="00D13496" w:rsidRDefault="00F47FA0" w:rsidP="00F47FA0">
      <w:pPr>
        <w:spacing w:line="360" w:lineRule="auto"/>
        <w:jc w:val="both"/>
        <w:rPr>
          <w:b w:val="0"/>
          <w:sz w:val="22"/>
        </w:rPr>
      </w:pPr>
      <w:r w:rsidRPr="00D13496">
        <w:rPr>
          <w:b w:val="0"/>
          <w:sz w:val="22"/>
        </w:rPr>
        <w:t xml:space="preserve">Planirani broj učenika sudionika natjecanja i smotri (solistički i u ansamblima) </w:t>
      </w:r>
      <w:r w:rsidR="00602CB0" w:rsidRPr="00D13496">
        <w:rPr>
          <w:b w:val="0"/>
          <w:sz w:val="22"/>
        </w:rPr>
        <w:t xml:space="preserve">je </w:t>
      </w:r>
      <w:r w:rsidR="00D13496" w:rsidRPr="00D13496">
        <w:rPr>
          <w:b w:val="0"/>
          <w:sz w:val="22"/>
        </w:rPr>
        <w:t>150</w:t>
      </w:r>
      <w:r w:rsidR="00602CB0" w:rsidRPr="00D13496">
        <w:rPr>
          <w:b w:val="0"/>
          <w:sz w:val="22"/>
        </w:rPr>
        <w:t xml:space="preserve">, dok je </w:t>
      </w:r>
      <w:r w:rsidRPr="00D13496">
        <w:rPr>
          <w:b w:val="0"/>
          <w:sz w:val="22"/>
        </w:rPr>
        <w:t xml:space="preserve">                                                                        </w:t>
      </w:r>
      <w:r w:rsidR="00602CB0" w:rsidRPr="00D13496">
        <w:rPr>
          <w:b w:val="0"/>
          <w:sz w:val="22"/>
        </w:rPr>
        <w:t xml:space="preserve">                               p</w:t>
      </w:r>
      <w:r w:rsidRPr="00D13496">
        <w:rPr>
          <w:b w:val="0"/>
          <w:sz w:val="22"/>
        </w:rPr>
        <w:t>lanirani broj učenika polaznika dodatnih programa -  sudionika</w:t>
      </w:r>
      <w:r w:rsidR="00602CB0" w:rsidRPr="00D13496">
        <w:rPr>
          <w:b w:val="0"/>
          <w:sz w:val="22"/>
        </w:rPr>
        <w:t xml:space="preserve"> javnih priredaba i koncerata </w:t>
      </w:r>
      <w:r w:rsidRPr="00D13496">
        <w:rPr>
          <w:b w:val="0"/>
          <w:sz w:val="22"/>
        </w:rPr>
        <w:t>300</w:t>
      </w:r>
      <w:r w:rsidR="00602CB0" w:rsidRPr="00D13496">
        <w:rPr>
          <w:b w:val="0"/>
          <w:sz w:val="22"/>
        </w:rPr>
        <w:t>.</w:t>
      </w:r>
    </w:p>
    <w:p w14:paraId="1BC90CA2" w14:textId="77777777" w:rsidR="00F47FA0" w:rsidRDefault="00F47FA0" w:rsidP="00432F42">
      <w:pPr>
        <w:spacing w:line="360" w:lineRule="auto"/>
        <w:jc w:val="both"/>
        <w:rPr>
          <w:sz w:val="22"/>
        </w:rPr>
      </w:pPr>
    </w:p>
    <w:p w14:paraId="75B73C93" w14:textId="556385EE" w:rsidR="00432F42" w:rsidRDefault="001673E7" w:rsidP="00432F4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/>
          <w:sz w:val="22"/>
        </w:rPr>
      </w:pPr>
      <w:r w:rsidRPr="001673E7">
        <w:rPr>
          <w:i/>
          <w:sz w:val="22"/>
        </w:rPr>
        <w:t>Izvještaj o postignutim ciljevima i rezultatima programa temeljenim na pokazateljima uspješnosti iz nadležnosti proračunskog korisnika u prethodnoj godini</w:t>
      </w:r>
      <w:r w:rsidR="00D76859">
        <w:rPr>
          <w:i/>
          <w:sz w:val="22"/>
        </w:rPr>
        <w:t>:</w:t>
      </w:r>
      <w:r>
        <w:rPr>
          <w:i/>
          <w:sz w:val="22"/>
        </w:rPr>
        <w:t xml:space="preserve"> </w:t>
      </w:r>
    </w:p>
    <w:p w14:paraId="7C5AD3C6" w14:textId="22F55F6B" w:rsidR="00D13496" w:rsidRDefault="001673E7" w:rsidP="00432F4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man Old Style" w:eastAsia="Times New Roman" w:hAnsi="Bookman Old Style"/>
          <w:sz w:val="24"/>
          <w:szCs w:val="24"/>
          <w:lang w:eastAsia="hr-HR"/>
        </w:rPr>
      </w:pPr>
      <w:r w:rsidRPr="00D13496">
        <w:rPr>
          <w:b w:val="0"/>
          <w:sz w:val="22"/>
        </w:rPr>
        <w:t xml:space="preserve">U protekloj godini ostvareno je </w:t>
      </w:r>
      <w:r w:rsidR="00D13496" w:rsidRPr="00D13496">
        <w:rPr>
          <w:b w:val="0"/>
          <w:sz w:val="22"/>
        </w:rPr>
        <w:t>97</w:t>
      </w:r>
      <w:r w:rsidRPr="00D13496">
        <w:rPr>
          <w:b w:val="0"/>
          <w:sz w:val="22"/>
        </w:rPr>
        <w:t xml:space="preserve"> nastupa učenika na  natjecanjima i osvojeno </w:t>
      </w:r>
      <w:r w:rsidR="00D13496" w:rsidRPr="00D13496">
        <w:rPr>
          <w:b w:val="0"/>
          <w:sz w:val="22"/>
        </w:rPr>
        <w:t>50</w:t>
      </w:r>
      <w:r w:rsidRPr="00D13496">
        <w:rPr>
          <w:b w:val="0"/>
          <w:sz w:val="22"/>
        </w:rPr>
        <w:t xml:space="preserve"> prvih, </w:t>
      </w:r>
      <w:r w:rsidR="00D13496" w:rsidRPr="00D13496">
        <w:rPr>
          <w:b w:val="0"/>
          <w:sz w:val="22"/>
        </w:rPr>
        <w:t>34</w:t>
      </w:r>
      <w:r w:rsidRPr="00D13496">
        <w:rPr>
          <w:b w:val="0"/>
          <w:sz w:val="22"/>
        </w:rPr>
        <w:t xml:space="preserve"> drug</w:t>
      </w:r>
      <w:r w:rsidR="00D13496" w:rsidRPr="00D13496">
        <w:rPr>
          <w:b w:val="0"/>
          <w:sz w:val="22"/>
        </w:rPr>
        <w:t>e, 11</w:t>
      </w:r>
      <w:r w:rsidRPr="00D13496">
        <w:rPr>
          <w:b w:val="0"/>
          <w:sz w:val="22"/>
        </w:rPr>
        <w:t xml:space="preserve"> trećih nagrada i dv</w:t>
      </w:r>
      <w:r w:rsidR="00D13496" w:rsidRPr="00D13496">
        <w:rPr>
          <w:b w:val="0"/>
          <w:sz w:val="22"/>
        </w:rPr>
        <w:t xml:space="preserve">ije posebne nagrade: </w:t>
      </w:r>
      <w:r w:rsidR="00D13496" w:rsidRPr="00D13496">
        <w:rPr>
          <w:rFonts w:eastAsia="Times New Roman" w:cstheme="minorHAnsi"/>
          <w:b w:val="0"/>
          <w:sz w:val="22"/>
          <w:lang w:eastAsia="hr-HR"/>
        </w:rPr>
        <w:t xml:space="preserve">Klara Prosenečki, nastavnica Ana Fortuna, Nagradu za najbolju izvedbu hrvatskog autora na natjecanju </w:t>
      </w:r>
      <w:r w:rsidR="00D13496" w:rsidRPr="00D13496">
        <w:rPr>
          <w:rFonts w:eastAsia="Times New Roman" w:cstheme="minorHAnsi"/>
          <w:b w:val="0"/>
          <w:i/>
          <w:sz w:val="22"/>
          <w:lang w:eastAsia="hr-HR"/>
        </w:rPr>
        <w:t xml:space="preserve">Daleki akordi </w:t>
      </w:r>
      <w:r w:rsidR="00D13496" w:rsidRPr="00D13496">
        <w:rPr>
          <w:rFonts w:eastAsia="Times New Roman" w:cstheme="minorHAnsi"/>
          <w:b w:val="0"/>
          <w:sz w:val="22"/>
          <w:lang w:eastAsia="hr-HR"/>
        </w:rPr>
        <w:t xml:space="preserve">u Splitu i Dunja Rebić, nastavnica Ana Majdak Fak, Nagradu i posebno priznanje za najmlađu natjecateljicu na Međunarodnom natjecanju </w:t>
      </w:r>
      <w:r w:rsidR="00D13496" w:rsidRPr="00D13496">
        <w:rPr>
          <w:rFonts w:eastAsia="Times New Roman" w:cstheme="minorHAnsi"/>
          <w:b w:val="0"/>
          <w:i/>
          <w:sz w:val="22"/>
          <w:lang w:eastAsia="hr-HR"/>
        </w:rPr>
        <w:t xml:space="preserve">Lions Grand Prix </w:t>
      </w:r>
      <w:r w:rsidR="00D13496" w:rsidRPr="00D13496">
        <w:rPr>
          <w:rFonts w:eastAsia="Times New Roman" w:cstheme="minorHAnsi"/>
          <w:b w:val="0"/>
          <w:sz w:val="22"/>
          <w:lang w:eastAsia="hr-HR"/>
        </w:rPr>
        <w:t>u Rijeci.</w:t>
      </w:r>
      <w:r w:rsidR="00D13496" w:rsidRPr="005E35F5">
        <w:rPr>
          <w:rFonts w:ascii="Bookman Old Style" w:eastAsia="Times New Roman" w:hAnsi="Bookman Old Style"/>
          <w:sz w:val="24"/>
          <w:szCs w:val="24"/>
          <w:lang w:eastAsia="hr-HR"/>
        </w:rPr>
        <w:t xml:space="preserve">   </w:t>
      </w:r>
    </w:p>
    <w:p w14:paraId="5D74643D" w14:textId="402423C1" w:rsidR="00D13496" w:rsidRPr="00D13496" w:rsidRDefault="00D13496" w:rsidP="00432F4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 w:cstheme="minorHAnsi"/>
          <w:b w:val="0"/>
          <w:sz w:val="22"/>
          <w:lang w:eastAsia="hr-HR"/>
        </w:rPr>
      </w:pPr>
      <w:r w:rsidRPr="00D13496">
        <w:rPr>
          <w:rFonts w:eastAsia="Times New Roman" w:cstheme="minorHAnsi"/>
          <w:b w:val="0"/>
          <w:sz w:val="22"/>
          <w:lang w:eastAsia="hr-HR"/>
        </w:rPr>
        <w:t xml:space="preserve">Učenica udaraljki, Lili Marin, nastavnik Štefan Đurković  i Komorni sastav tambura, nastavnik Igor Kudeljnjak, dobitnici su  Oskara znanja za </w:t>
      </w:r>
      <w:r w:rsidR="008E4F0B">
        <w:rPr>
          <w:rFonts w:eastAsia="Times New Roman" w:cstheme="minorHAnsi"/>
          <w:b w:val="0"/>
          <w:sz w:val="22"/>
          <w:lang w:eastAsia="hr-HR"/>
        </w:rPr>
        <w:t xml:space="preserve">proteklu </w:t>
      </w:r>
      <w:r w:rsidRPr="00D13496">
        <w:rPr>
          <w:rFonts w:eastAsia="Times New Roman" w:cstheme="minorHAnsi"/>
          <w:b w:val="0"/>
          <w:sz w:val="22"/>
          <w:lang w:eastAsia="hr-HR"/>
        </w:rPr>
        <w:t xml:space="preserve"> školsku godinu</w:t>
      </w:r>
      <w:r w:rsidR="008E4F0B">
        <w:rPr>
          <w:rFonts w:eastAsia="Times New Roman" w:cstheme="minorHAnsi"/>
          <w:b w:val="0"/>
          <w:sz w:val="22"/>
          <w:lang w:eastAsia="hr-HR"/>
        </w:rPr>
        <w:t xml:space="preserve">. </w:t>
      </w:r>
    </w:p>
    <w:p w14:paraId="2AC19F01" w14:textId="77777777" w:rsidR="00ED23C5" w:rsidRDefault="00ED23C5" w:rsidP="00432F42">
      <w:pPr>
        <w:spacing w:line="360" w:lineRule="auto"/>
        <w:jc w:val="both"/>
        <w:rPr>
          <w:b w:val="0"/>
          <w:sz w:val="22"/>
        </w:rPr>
      </w:pPr>
    </w:p>
    <w:p w14:paraId="60FDADB2" w14:textId="77777777" w:rsidR="00ED23C5" w:rsidRPr="00F47FA0" w:rsidRDefault="00ED23C5" w:rsidP="00ED23C5">
      <w:pPr>
        <w:spacing w:line="360" w:lineRule="auto"/>
        <w:jc w:val="both"/>
        <w:rPr>
          <w:b w:val="0"/>
          <w:sz w:val="22"/>
        </w:rPr>
      </w:pPr>
      <w:r w:rsidRPr="001673E7">
        <w:rPr>
          <w:i/>
          <w:sz w:val="22"/>
        </w:rPr>
        <w:t>Osvrt ravnatelja/ice na cjelokupno poslovanje u narednom razdoblju:</w:t>
      </w:r>
      <w:r w:rsidRPr="00F47FA0">
        <w:t xml:space="preserve"> </w:t>
      </w:r>
      <w:r w:rsidRPr="00F47FA0">
        <w:rPr>
          <w:b w:val="0"/>
          <w:sz w:val="22"/>
        </w:rPr>
        <w:t xml:space="preserve">Osiguravanje minimalnog standarda pretpostavlja planiranje i realizaciju aktivnosti koje proizlaze iz nastavnog plana i programa. </w:t>
      </w:r>
    </w:p>
    <w:p w14:paraId="5D0B7E15" w14:textId="373FBAFD" w:rsidR="00ED23C5" w:rsidRDefault="008E4F0B" w:rsidP="001673E7">
      <w:p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Svi javni nastupi i sudjelovanja na natjecanjima većim dijelom se financiraju iz sredstava Škole. </w:t>
      </w:r>
      <w:r w:rsidR="00ED23C5">
        <w:rPr>
          <w:b w:val="0"/>
          <w:sz w:val="22"/>
        </w:rPr>
        <w:t xml:space="preserve"> </w:t>
      </w:r>
      <w:r w:rsidR="00ED23C5" w:rsidRPr="00F47FA0">
        <w:rPr>
          <w:b w:val="0"/>
          <w:sz w:val="22"/>
        </w:rPr>
        <w:t>Aktivnost uređenja i opremanja prostora planira se kontinuirano, prema</w:t>
      </w:r>
      <w:r w:rsidR="00ED23C5">
        <w:rPr>
          <w:b w:val="0"/>
          <w:sz w:val="22"/>
        </w:rPr>
        <w:t xml:space="preserve"> financijskim</w:t>
      </w:r>
      <w:r w:rsidR="007C6B40">
        <w:rPr>
          <w:b w:val="0"/>
          <w:sz w:val="22"/>
        </w:rPr>
        <w:t xml:space="preserve"> mogućnostima.</w:t>
      </w:r>
      <w:r w:rsidR="001673E7" w:rsidRPr="001673E7">
        <w:rPr>
          <w:b w:val="0"/>
          <w:sz w:val="22"/>
        </w:rPr>
        <w:t xml:space="preserve">                                                                                                           </w:t>
      </w:r>
    </w:p>
    <w:p w14:paraId="1CF0C193" w14:textId="77777777" w:rsidR="00ED23C5" w:rsidRPr="001673E7" w:rsidRDefault="00ED23C5" w:rsidP="001673E7">
      <w:pPr>
        <w:spacing w:line="360" w:lineRule="auto"/>
        <w:jc w:val="both"/>
        <w:rPr>
          <w:b w:val="0"/>
          <w:sz w:val="22"/>
        </w:rPr>
      </w:pPr>
    </w:p>
    <w:p w14:paraId="5B3EE4FD" w14:textId="2F4D2450" w:rsidR="00235322" w:rsidRPr="001673E7" w:rsidRDefault="007C6B40" w:rsidP="001673E7">
      <w:pPr>
        <w:spacing w:line="360" w:lineRule="auto"/>
        <w:jc w:val="both"/>
        <w:rPr>
          <w:i/>
          <w:sz w:val="22"/>
        </w:rPr>
      </w:pPr>
      <w:r>
        <w:rPr>
          <w:b w:val="0"/>
          <w:sz w:val="22"/>
        </w:rPr>
        <w:t xml:space="preserve">           </w:t>
      </w:r>
    </w:p>
    <w:tbl>
      <w:tblPr>
        <w:tblStyle w:val="Reetkatablice"/>
        <w:tblW w:w="5893" w:type="dxa"/>
        <w:tblInd w:w="3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2737"/>
      </w:tblGrid>
      <w:tr w:rsidR="00235322" w14:paraId="3F4F81D8" w14:textId="77777777" w:rsidTr="007C6B40">
        <w:trPr>
          <w:trHeight w:val="1461"/>
        </w:trPr>
        <w:tc>
          <w:tcPr>
            <w:tcW w:w="3156" w:type="dxa"/>
          </w:tcPr>
          <w:p w14:paraId="74114DF6" w14:textId="77777777" w:rsidR="00235322" w:rsidRDefault="00235322" w:rsidP="00CE0541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Voditelj/ica računovodstva:</w:t>
            </w:r>
          </w:p>
        </w:tc>
        <w:tc>
          <w:tcPr>
            <w:tcW w:w="2737" w:type="dxa"/>
          </w:tcPr>
          <w:p w14:paraId="56E8C915" w14:textId="77777777" w:rsidR="00235322" w:rsidRDefault="00235322" w:rsidP="00CE0541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Marija Manjkas, mag. oec</w:t>
            </w:r>
          </w:p>
          <w:p w14:paraId="3B770811" w14:textId="77777777" w:rsidR="00235322" w:rsidRDefault="00235322" w:rsidP="00CE0541">
            <w:pPr>
              <w:spacing w:line="360" w:lineRule="auto"/>
              <w:jc w:val="both"/>
              <w:rPr>
                <w:b w:val="0"/>
                <w:sz w:val="22"/>
              </w:rPr>
            </w:pPr>
          </w:p>
          <w:p w14:paraId="607D3B0E" w14:textId="77777777" w:rsidR="00235322" w:rsidRDefault="00235322" w:rsidP="00CE0541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_______________________</w:t>
            </w:r>
          </w:p>
        </w:tc>
      </w:tr>
      <w:tr w:rsidR="00235322" w14:paraId="7C04FF8E" w14:textId="77777777" w:rsidTr="007C6B40">
        <w:trPr>
          <w:trHeight w:val="1461"/>
        </w:trPr>
        <w:tc>
          <w:tcPr>
            <w:tcW w:w="3156" w:type="dxa"/>
          </w:tcPr>
          <w:p w14:paraId="68351BAD" w14:textId="77777777" w:rsidR="00235322" w:rsidRDefault="00235322" w:rsidP="00CE0541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Ravnatelj/ica:</w:t>
            </w:r>
          </w:p>
        </w:tc>
        <w:tc>
          <w:tcPr>
            <w:tcW w:w="2737" w:type="dxa"/>
          </w:tcPr>
          <w:p w14:paraId="58739E61" w14:textId="77777777" w:rsidR="00235322" w:rsidRDefault="00235322" w:rsidP="00CE0541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Branka Špoljar, prof</w:t>
            </w:r>
          </w:p>
          <w:p w14:paraId="668FC39B" w14:textId="77777777" w:rsidR="00235322" w:rsidRDefault="00235322" w:rsidP="00CE0541">
            <w:pPr>
              <w:spacing w:line="360" w:lineRule="auto"/>
              <w:jc w:val="both"/>
              <w:rPr>
                <w:b w:val="0"/>
                <w:sz w:val="22"/>
              </w:rPr>
            </w:pPr>
          </w:p>
          <w:p w14:paraId="344FFF61" w14:textId="77777777" w:rsidR="00235322" w:rsidRDefault="00235322" w:rsidP="00CE0541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_______________________</w:t>
            </w:r>
          </w:p>
        </w:tc>
      </w:tr>
    </w:tbl>
    <w:p w14:paraId="66CCEA30" w14:textId="77777777" w:rsidR="001673E7" w:rsidRPr="001673E7" w:rsidRDefault="001673E7" w:rsidP="001673E7">
      <w:pPr>
        <w:spacing w:line="360" w:lineRule="auto"/>
        <w:jc w:val="both"/>
        <w:rPr>
          <w:i/>
          <w:sz w:val="22"/>
        </w:rPr>
      </w:pPr>
    </w:p>
    <w:sectPr w:rsidR="001673E7" w:rsidRPr="0016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6FDA"/>
    <w:multiLevelType w:val="hybridMultilevel"/>
    <w:tmpl w:val="AD787050"/>
    <w:lvl w:ilvl="0" w:tplc="B3E87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436"/>
    <w:multiLevelType w:val="hybridMultilevel"/>
    <w:tmpl w:val="678272F2"/>
    <w:lvl w:ilvl="0" w:tplc="2D905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307E"/>
    <w:multiLevelType w:val="hybridMultilevel"/>
    <w:tmpl w:val="F01AA6AA"/>
    <w:lvl w:ilvl="0" w:tplc="CA581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4B89"/>
    <w:multiLevelType w:val="hybridMultilevel"/>
    <w:tmpl w:val="6C06B50A"/>
    <w:lvl w:ilvl="0" w:tplc="525C0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A4923"/>
    <w:multiLevelType w:val="hybridMultilevel"/>
    <w:tmpl w:val="012E7CFE"/>
    <w:lvl w:ilvl="0" w:tplc="B59A7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11183"/>
    <w:multiLevelType w:val="hybridMultilevel"/>
    <w:tmpl w:val="D6702EF8"/>
    <w:lvl w:ilvl="0" w:tplc="3636FC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D3279"/>
    <w:multiLevelType w:val="hybridMultilevel"/>
    <w:tmpl w:val="3B4AFF8A"/>
    <w:lvl w:ilvl="0" w:tplc="4C7491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6052B"/>
    <w:multiLevelType w:val="hybridMultilevel"/>
    <w:tmpl w:val="750CF320"/>
    <w:lvl w:ilvl="0" w:tplc="82E8850A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145F1"/>
    <w:multiLevelType w:val="hybridMultilevel"/>
    <w:tmpl w:val="0E3A34FC"/>
    <w:lvl w:ilvl="0" w:tplc="CA581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47202"/>
    <w:multiLevelType w:val="hybridMultilevel"/>
    <w:tmpl w:val="CB7CDE70"/>
    <w:lvl w:ilvl="0" w:tplc="0C8A8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37781"/>
    <w:multiLevelType w:val="hybridMultilevel"/>
    <w:tmpl w:val="BB74D310"/>
    <w:lvl w:ilvl="0" w:tplc="FBE2A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9621E"/>
    <w:multiLevelType w:val="hybridMultilevel"/>
    <w:tmpl w:val="B830A2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A3550"/>
    <w:multiLevelType w:val="hybridMultilevel"/>
    <w:tmpl w:val="B0C04154"/>
    <w:lvl w:ilvl="0" w:tplc="EBC6A1E0">
      <w:start w:val="71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49771F41"/>
    <w:multiLevelType w:val="hybridMultilevel"/>
    <w:tmpl w:val="3FEE1480"/>
    <w:lvl w:ilvl="0" w:tplc="5BB82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7746"/>
    <w:multiLevelType w:val="hybridMultilevel"/>
    <w:tmpl w:val="A7064390"/>
    <w:lvl w:ilvl="0" w:tplc="B59A7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15917"/>
    <w:multiLevelType w:val="hybridMultilevel"/>
    <w:tmpl w:val="98823C56"/>
    <w:lvl w:ilvl="0" w:tplc="1A4C32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75686"/>
    <w:multiLevelType w:val="hybridMultilevel"/>
    <w:tmpl w:val="78C2410A"/>
    <w:lvl w:ilvl="0" w:tplc="73B66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F7F1D"/>
    <w:multiLevelType w:val="hybridMultilevel"/>
    <w:tmpl w:val="61DCA56A"/>
    <w:lvl w:ilvl="0" w:tplc="5CB03B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81AE2"/>
    <w:multiLevelType w:val="hybridMultilevel"/>
    <w:tmpl w:val="52363154"/>
    <w:lvl w:ilvl="0" w:tplc="6D2A63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336C"/>
    <w:multiLevelType w:val="hybridMultilevel"/>
    <w:tmpl w:val="D86C410C"/>
    <w:lvl w:ilvl="0" w:tplc="041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15"/>
  </w:num>
  <w:num w:numId="6">
    <w:abstractNumId w:val="18"/>
  </w:num>
  <w:num w:numId="7">
    <w:abstractNumId w:val="13"/>
  </w:num>
  <w:num w:numId="8">
    <w:abstractNumId w:val="10"/>
  </w:num>
  <w:num w:numId="9">
    <w:abstractNumId w:val="0"/>
  </w:num>
  <w:num w:numId="10">
    <w:abstractNumId w:val="6"/>
  </w:num>
  <w:num w:numId="11">
    <w:abstractNumId w:val="17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11"/>
  </w:num>
  <w:num w:numId="17">
    <w:abstractNumId w:val="16"/>
  </w:num>
  <w:num w:numId="18">
    <w:abstractNumId w:val="19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74"/>
    <w:rsid w:val="00071FF5"/>
    <w:rsid w:val="00086DD4"/>
    <w:rsid w:val="000F6946"/>
    <w:rsid w:val="0014356D"/>
    <w:rsid w:val="001673E7"/>
    <w:rsid w:val="00173AF1"/>
    <w:rsid w:val="001F5DDA"/>
    <w:rsid w:val="00213C73"/>
    <w:rsid w:val="00235322"/>
    <w:rsid w:val="002C6660"/>
    <w:rsid w:val="00330B73"/>
    <w:rsid w:val="003A7865"/>
    <w:rsid w:val="003A7D65"/>
    <w:rsid w:val="00400295"/>
    <w:rsid w:val="00400A4D"/>
    <w:rsid w:val="00432F42"/>
    <w:rsid w:val="004371E2"/>
    <w:rsid w:val="004D7CE9"/>
    <w:rsid w:val="005B2B52"/>
    <w:rsid w:val="005C2A4B"/>
    <w:rsid w:val="00602CB0"/>
    <w:rsid w:val="0062034B"/>
    <w:rsid w:val="006413EF"/>
    <w:rsid w:val="0066459B"/>
    <w:rsid w:val="006D2325"/>
    <w:rsid w:val="006D540C"/>
    <w:rsid w:val="007C6B40"/>
    <w:rsid w:val="008B2987"/>
    <w:rsid w:val="008E4F0B"/>
    <w:rsid w:val="008E7FA8"/>
    <w:rsid w:val="00932D30"/>
    <w:rsid w:val="009623EC"/>
    <w:rsid w:val="009A1274"/>
    <w:rsid w:val="00A33B4E"/>
    <w:rsid w:val="00A74A1F"/>
    <w:rsid w:val="00A820EC"/>
    <w:rsid w:val="00AC0182"/>
    <w:rsid w:val="00B405DB"/>
    <w:rsid w:val="00B73C10"/>
    <w:rsid w:val="00BD3CCE"/>
    <w:rsid w:val="00BE0AE5"/>
    <w:rsid w:val="00BE5672"/>
    <w:rsid w:val="00C131AD"/>
    <w:rsid w:val="00C54F18"/>
    <w:rsid w:val="00CD1EBD"/>
    <w:rsid w:val="00CE0541"/>
    <w:rsid w:val="00D13496"/>
    <w:rsid w:val="00D627F2"/>
    <w:rsid w:val="00D76859"/>
    <w:rsid w:val="00E55546"/>
    <w:rsid w:val="00ED23C5"/>
    <w:rsid w:val="00F47FA0"/>
    <w:rsid w:val="00F629D7"/>
    <w:rsid w:val="00FA7D6B"/>
    <w:rsid w:val="00FC4EC7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00E7"/>
  <w15:chartTrackingRefBased/>
  <w15:docId w15:val="{C67BEC73-2D79-46D4-8CA9-C1456088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546"/>
    <w:pPr>
      <w:spacing w:after="0"/>
      <w:jc w:val="center"/>
    </w:pPr>
    <w:rPr>
      <w:b/>
      <w:sz w:val="40"/>
    </w:rPr>
  </w:style>
  <w:style w:type="paragraph" w:styleId="Naslov1">
    <w:name w:val="heading 1"/>
    <w:basedOn w:val="Normal"/>
    <w:next w:val="Normal"/>
    <w:link w:val="Naslov1Char"/>
    <w:uiPriority w:val="9"/>
    <w:qFormat/>
    <w:rsid w:val="00CD1E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 w:val="0"/>
      <w:color w:val="323E4F" w:themeColor="text2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413EF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23E4F" w:themeColor="text2" w:themeShade="BF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D1EBD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323E4F" w:themeColor="text2" w:themeShade="BF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D1EBD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Cs/>
      <w:color w:val="222A35" w:themeColor="text2" w:themeShade="8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9A127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lomakpopisa">
    <w:name w:val="List Paragraph"/>
    <w:basedOn w:val="Normal"/>
    <w:uiPriority w:val="34"/>
    <w:qFormat/>
    <w:rsid w:val="002C6660"/>
    <w:pPr>
      <w:ind w:left="720"/>
      <w:contextualSpacing/>
    </w:pPr>
  </w:style>
  <w:style w:type="paragraph" w:styleId="Bezproreda">
    <w:name w:val="No Spacing"/>
    <w:uiPriority w:val="1"/>
    <w:qFormat/>
    <w:rsid w:val="002C6660"/>
    <w:pPr>
      <w:spacing w:after="0" w:line="240" w:lineRule="auto"/>
      <w:jc w:val="center"/>
    </w:pPr>
    <w:rPr>
      <w:b/>
      <w:sz w:val="40"/>
    </w:rPr>
  </w:style>
  <w:style w:type="character" w:customStyle="1" w:styleId="Naslov1Char">
    <w:name w:val="Naslov 1 Char"/>
    <w:basedOn w:val="Zadanifontodlomka"/>
    <w:link w:val="Naslov1"/>
    <w:uiPriority w:val="9"/>
    <w:rsid w:val="00CD1EBD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6413EF"/>
    <w:rPr>
      <w:rFonts w:asciiTheme="majorHAnsi" w:eastAsiaTheme="majorEastAsia" w:hAnsiTheme="majorHAnsi" w:cstheme="majorBidi"/>
      <w:b/>
      <w:color w:val="323E4F" w:themeColor="text2" w:themeShade="BF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CD1EBD"/>
    <w:rPr>
      <w:rFonts w:asciiTheme="majorHAnsi" w:eastAsiaTheme="majorEastAsia" w:hAnsiTheme="majorHAnsi" w:cstheme="majorBidi"/>
      <w:b/>
      <w:color w:val="323E4F" w:themeColor="text2" w:themeShade="BF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CD1EBD"/>
    <w:rPr>
      <w:rFonts w:asciiTheme="majorHAnsi" w:eastAsiaTheme="majorEastAsia" w:hAnsiTheme="majorHAnsi" w:cstheme="majorBidi"/>
      <w:b/>
      <w:iCs/>
      <w:color w:val="222A35" w:themeColor="text2" w:themeShade="80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2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2CB0"/>
    <w:rPr>
      <w:rFonts w:ascii="Segoe UI" w:hAnsi="Segoe UI" w:cs="Segoe UI"/>
      <w:b/>
      <w:sz w:val="18"/>
      <w:szCs w:val="18"/>
    </w:rPr>
  </w:style>
  <w:style w:type="table" w:styleId="Reetkatablice">
    <w:name w:val="Table Grid"/>
    <w:basedOn w:val="Obinatablica"/>
    <w:uiPriority w:val="39"/>
    <w:rsid w:val="00ED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BA7E-608E-41F8-BEAB-CA024D2F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 Manjkas</cp:lastModifiedBy>
  <cp:revision>8</cp:revision>
  <cp:lastPrinted>2024-11-06T12:12:00Z</cp:lastPrinted>
  <dcterms:created xsi:type="dcterms:W3CDTF">2024-11-06T11:55:00Z</dcterms:created>
  <dcterms:modified xsi:type="dcterms:W3CDTF">2024-12-20T08:26:00Z</dcterms:modified>
</cp:coreProperties>
</file>