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96" w:rsidRPr="004D359A" w:rsidRDefault="00813696" w:rsidP="00813696">
      <w:pPr>
        <w:rPr>
          <w:sz w:val="22"/>
          <w:szCs w:val="22"/>
        </w:rPr>
      </w:pPr>
      <w:r w:rsidRPr="004D359A">
        <w:rPr>
          <w:sz w:val="22"/>
          <w:szCs w:val="22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813696" w:rsidRPr="004D359A" w:rsidTr="00A434DF">
        <w:trPr>
          <w:trHeight w:val="278"/>
        </w:trPr>
        <w:tc>
          <w:tcPr>
            <w:tcW w:w="6048" w:type="dxa"/>
          </w:tcPr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GLAZBENA ŠKOLA ALBERTA ŠTRIGE KRIŽEVCI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ŽIRO-RAČUN: HR52 2340 0091 1104 9991 3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MATIČNI BROJ: 03003345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OIB:00447860778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ŠIFRA DJELATNOSTI: 8532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Razina: 31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RKP: 8623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  <w:r w:rsidRPr="004D359A">
              <w:rPr>
                <w:b/>
                <w:sz w:val="22"/>
                <w:szCs w:val="22"/>
              </w:rPr>
              <w:t>Šifra škole 06-041-505</w:t>
            </w:r>
          </w:p>
          <w:p w:rsidR="00813696" w:rsidRPr="004D359A" w:rsidRDefault="00813696" w:rsidP="00A434DF">
            <w:pPr>
              <w:rPr>
                <w:b/>
                <w:sz w:val="22"/>
                <w:szCs w:val="22"/>
              </w:rPr>
            </w:pPr>
          </w:p>
        </w:tc>
      </w:tr>
    </w:tbl>
    <w:p w:rsidR="00813696" w:rsidRPr="004D359A" w:rsidRDefault="00813696" w:rsidP="00813696">
      <w:pPr>
        <w:rPr>
          <w:sz w:val="22"/>
          <w:szCs w:val="22"/>
        </w:rPr>
      </w:pPr>
    </w:p>
    <w:p w:rsidR="00813696" w:rsidRPr="004D359A" w:rsidRDefault="00813696" w:rsidP="00813696">
      <w:pPr>
        <w:rPr>
          <w:sz w:val="22"/>
          <w:szCs w:val="22"/>
        </w:rPr>
      </w:pP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BILJEŠKE UZ FINANCIJSKA IZVJEŠĆA ZA I-XII 2022. GODINU</w:t>
      </w:r>
    </w:p>
    <w:p w:rsidR="00813696" w:rsidRPr="004D359A" w:rsidRDefault="00813696" w:rsidP="00813696">
      <w:pPr>
        <w:jc w:val="center"/>
        <w:rPr>
          <w:sz w:val="22"/>
          <w:szCs w:val="22"/>
        </w:rPr>
      </w:pP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Glazbena škola Alberta Štrige Križevci, posluje u skladu sa Zakonom o odgoju i obrazovanju u osnovnoj i srednjoj školi te Statutom škole. Proračunsko računovodstvo vodi temeljem Pravilnika o proračunskom računovodstva i Računskom planu, a financijske izvještaje sastavlja i predaje u skladu s odredbama  Pravilnika o financijskom izvještavanju u proračunskom računovodstvu. </w:t>
      </w: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Bilješke uz Izvještaj o prihodima i rashodima- obrazac PR-RAS</w:t>
      </w: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</w:p>
    <w:p w:rsidR="00813696" w:rsidRPr="004D359A" w:rsidRDefault="00813696" w:rsidP="00813696">
      <w:pPr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b/>
          <w:sz w:val="22"/>
          <w:szCs w:val="22"/>
        </w:rPr>
        <w:t xml:space="preserve">ŠIFRA-6361- Tekuće pomoći proračunskih korisnicima iz proračuna koji im nije nadležan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Na ovom kontu evidentirani su prihodi od Koprivničko-Križevačke Županije za </w:t>
      </w:r>
    </w:p>
    <w:p w:rsidR="00813696" w:rsidRPr="004D359A" w:rsidRDefault="00813696" w:rsidP="00813696">
      <w:pPr>
        <w:rPr>
          <w:sz w:val="22"/>
          <w:szCs w:val="22"/>
        </w:rPr>
      </w:pPr>
      <w:r w:rsidRPr="004D359A">
        <w:rPr>
          <w:sz w:val="22"/>
          <w:szCs w:val="22"/>
        </w:rPr>
        <w:t xml:space="preserve">prijevoz radnika na posao i s posla u iznosu od 405.239,22 kn, iz Ministarstva znanosti i obrazovanja za Mentorstvo  u iznosu od 1.296,00 kn,  te za Županijska stručna vijeća /Agencija za odgoj i obrazovanje / u iznosu od 1.760,00 kn i  za troškove plaća i materijalna  prava radnika / COP/  od Ministarstva u iznosu od 6.597.217,02 kn. Iskazano povećanje u odnosu na proteklo razdoblje odnosi se na povećanje plaća koje je usklađeno prema Kolektivnom ugovoru za školstvo, te za povećane vrijednosti  troškovi prijevoza na posao i s posla. </w:t>
      </w:r>
    </w:p>
    <w:p w:rsidR="00813696" w:rsidRPr="004D359A" w:rsidRDefault="00813696" w:rsidP="00813696">
      <w:pPr>
        <w:ind w:left="360"/>
        <w:rPr>
          <w:sz w:val="22"/>
          <w:szCs w:val="22"/>
        </w:rPr>
      </w:pPr>
    </w:p>
    <w:p w:rsidR="00813696" w:rsidRPr="004D359A" w:rsidRDefault="00813696" w:rsidP="00813696">
      <w:pPr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ŠIFRA- 65-Prihodi po posebnim propisima </w:t>
      </w:r>
    </w:p>
    <w:p w:rsidR="00813696" w:rsidRPr="004D359A" w:rsidRDefault="00813696" w:rsidP="00813696">
      <w:pPr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ŠIFRA-66-Prihodi od pružanih usluga </w:t>
      </w:r>
    </w:p>
    <w:p w:rsidR="00813696" w:rsidRPr="004D359A" w:rsidRDefault="00813696" w:rsidP="00813696">
      <w:pPr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Ovdje su evidentirane uplate roditelja za sufinanciranje školarine, koje su vrijednosno ostvarene neznatno manje u odnosu na prošlu godinu. Uplate za iznajmljivanje instrumenata učenicima za izvještajni period  uredno su podmireni, kao i preneseni dug iz prethodnog razdoblja.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ŠIFRA- 671-</w:t>
      </w:r>
      <w:r>
        <w:rPr>
          <w:b/>
          <w:sz w:val="22"/>
          <w:szCs w:val="22"/>
        </w:rPr>
        <w:t xml:space="preserve">Prihodi iz nadležnog proračuna </w:t>
      </w:r>
      <w:r w:rsidRPr="004D359A">
        <w:rPr>
          <w:b/>
          <w:sz w:val="22"/>
          <w:szCs w:val="22"/>
        </w:rPr>
        <w:t xml:space="preserve">za financiranje redovne djelatnosti proračunskih korisnika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Na ovoj poziciji zabilježena su doznačena sredstva za rashode zakonskog standarda, za izvor 11 u iznosu od 71.432,13 kn, a za izvor 43 u iznosu od 429.372,70 kn i za rashode iznad zakonskog standarda u iznosu od 563.878,70 kn. Iskazano povećanje odnosi se na metodičko iskazivanje doznačenih sredstava za proteklo razdoblje, te nabavu koncertnog klavira.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ŠIFRA- 683-Ostali prihodi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Ovaj prihod  ostvaren je od naplate potraživanja, po kojima je bio pokrenut postupak prisilne naplate, te za pokriće troškova provedenog postupka.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ŠIFRA-3111- Plaće za redovni rad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Iskazano povećanje osnovne plaće za redovni rad odnosi se na primjenu novog kolektivnog ugovora za škole.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ŠIFRA-312- Ostali rashodi za zaposlene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Na ovoj poziciji  zabilježene su isplate regresa za godišnji odmor, božićnice, dar djeci za 2022. god., i ostala materijalna prava radnika.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ŠIFRA-3211- Službena putovanja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Iskazano povećanje odnosi se na redovito održane planirane aktivnosti u dijelu  natjecanja učenika, što nije bilo moguće realizirati u prethodnom periodu zbog pandemije COVID-19.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ŠIFRA-3212 -Naknade za prijevoz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U ovom izvještajnom razdoblju došlo je do povećanja  navedenih rashoda, u odnosu na izvještajno razdoblje prethodne godine, jer se cjelokupna nastava odvijala u školi, dok se prethodne godine odvijala kombinirano online i u školi. Novim kolektivnim ugovorom došlo je do izmjene  iznosa i načina  izračuna naknade troškova prijevoza.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ŠIFRA-3213- Stručno usavršavanje zaposlenika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97299C" w:rsidRDefault="00813696" w:rsidP="00813696">
      <w:pPr>
        <w:jc w:val="both"/>
        <w:rPr>
          <w:sz w:val="22"/>
          <w:szCs w:val="22"/>
        </w:rPr>
      </w:pPr>
      <w:r w:rsidRPr="004D359A">
        <w:rPr>
          <w:b/>
          <w:sz w:val="22"/>
          <w:szCs w:val="22"/>
        </w:rPr>
        <w:t xml:space="preserve"> </w:t>
      </w:r>
      <w:r w:rsidRPr="004D359A">
        <w:rPr>
          <w:sz w:val="22"/>
          <w:szCs w:val="22"/>
        </w:rPr>
        <w:t xml:space="preserve">U prethodnom izvještajnom  razdoblju prisustvovanje seminarima nije  održavano, radi propisanih mjera Stožera. U ovom  izvještajnom periodu ova aktivnost redovito se odvijala. </w:t>
      </w:r>
    </w:p>
    <w:p w:rsidR="00813696" w:rsidRPr="004D359A" w:rsidRDefault="00813696" w:rsidP="00813696">
      <w:pPr>
        <w:ind w:left="720"/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ŠIFA-322-Rashodi za materijal i energiju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Stavka energija pokazuje povećanje jer je došlo do povećanja cijena.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Na stavci-materijal i dijelovi za tekuće i investicijsko održavanje zabilježeno je redovito održavanje instrumenata.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Sitni inventar bilježi nabavu bijele ploče s glazbenim crtovljem, torbi i kofera za klasične gitare, stalaka za note i konferencijskih stolica. 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.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-3231–Usluge telefona, pošte i prijevoza 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Na ovom kontu značajno povećanje u odnosu na prethodno razdoblje bilježe troškovi za autobusni prijevoz učenika na planirane aktivnosti (smotre i natjecanja). 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  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-3232- Usluge tekućeg i investicijskog održavanja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Iskazane vrijednosti odnose se na troškove zvučne izolacije učionica i funkcionalno i </w:t>
      </w:r>
      <w:proofErr w:type="spellStart"/>
      <w:r w:rsidRPr="004D359A">
        <w:rPr>
          <w:sz w:val="22"/>
          <w:szCs w:val="22"/>
        </w:rPr>
        <w:t>foničko</w:t>
      </w:r>
      <w:proofErr w:type="spellEnd"/>
      <w:r w:rsidRPr="004D359A">
        <w:rPr>
          <w:sz w:val="22"/>
          <w:szCs w:val="22"/>
        </w:rPr>
        <w:t xml:space="preserve"> oblikovanje  klavira, pi</w:t>
      </w:r>
      <w:r>
        <w:rPr>
          <w:sz w:val="22"/>
          <w:szCs w:val="22"/>
        </w:rPr>
        <w:t>j</w:t>
      </w:r>
      <w:r w:rsidRPr="004D359A">
        <w:rPr>
          <w:sz w:val="22"/>
          <w:szCs w:val="22"/>
        </w:rPr>
        <w:t>anina i čembala, te za adaptaciju prostora u prizemlju škole.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-3234-Komunalne usluge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Komunalne usluge sastoje se od usluga opskrbe vodom, iznošenja i odvoza smeća, dimnjačarskih usluga te komunalne naknade. Iskazano povećanje troškova je zbog povećanja cijene davatelja usluga.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-3237-Intelektualne i osobne usluge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Troškovi iskazani na ovoj poziciji odnose se na podmirenje izvršenih usluga po Ugovorima o djelu za poslove neodgodive prirode.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-3238-Računalne usluge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Iskazano povećanje odnosi se na troškove obnove antivirusnih programa za prijenosna i stolna računala, te za redovito održavanje informacijskog sustava.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-3239-Ostale usluge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Troškovi na ostalim uslugama sastoje se od troškova za obveznu zaštitu na radu, troškove kotizacije za natjecanje učenika </w:t>
      </w:r>
      <w:r w:rsidRPr="004D359A">
        <w:rPr>
          <w:bCs/>
          <w:sz w:val="22"/>
          <w:szCs w:val="22"/>
          <w:lang w:eastAsia="en-US"/>
        </w:rPr>
        <w:t xml:space="preserve"> te za grafičke i tiskarske usluge, uvezivanja.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-324-Naknada troškova osobama izvan radnog odnosa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Na ovoj poziciji došlo je do povećanja rashoda u odnosu na prethodnu godinu  radi redovnog  održavanja nastave u školi i promjene cijene troškova prijevoza  za vanjske suradnike 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 ŠIFRA -3291-Naknade za rad predstavničkih i izvršnih tijela, povjerenstva i slično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Ovdje su zabilježeni troškovi – drugog dohotka - Ugovori o djelu za vanjske suradnike učitelje, koji se financiraju od strane Ministarstva znanosti i obrazovanja.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-3293-Reprezentacija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Iskazana vrijednost nastalih troškova reprezentacije odnosi se na ugošćivanje komisije prilikom natjecanja učenika.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b/>
          <w:sz w:val="22"/>
          <w:szCs w:val="22"/>
        </w:rPr>
        <w:t xml:space="preserve">ŠIFRA -3294- Članarine i norme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Na ovoj poziciji bilježeni su troškovi za natjecanje učenika (kotizacija).</w:t>
      </w:r>
      <w:r>
        <w:rPr>
          <w:sz w:val="22"/>
          <w:szCs w:val="22"/>
        </w:rPr>
        <w:t xml:space="preserve"> </w:t>
      </w:r>
      <w:r w:rsidRPr="004D359A">
        <w:rPr>
          <w:sz w:val="22"/>
          <w:szCs w:val="22"/>
        </w:rPr>
        <w:t>U prethodnom izvještajnom  razdoblju natjecanje učenika nije bilo moguće održavati, radi propisanih mjera Stožera.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-34- Financijski rashodi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Temeljem pravomoćnih  sudskih presuda obračunate su i isplaćene zatezne kamate za razliku plaće za 2016. i 2017.godinu.</w:t>
      </w: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</w:t>
      </w:r>
      <w:r>
        <w:rPr>
          <w:b/>
          <w:sz w:val="22"/>
          <w:szCs w:val="22"/>
        </w:rPr>
        <w:t>-</w:t>
      </w:r>
      <w:r w:rsidRPr="004D359A">
        <w:rPr>
          <w:b/>
          <w:sz w:val="22"/>
          <w:szCs w:val="22"/>
        </w:rPr>
        <w:t>X001-Višak prihoda poslovanja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Iskazano povećanje  u odnosu na prethodno razdoblje odnosi se na metodičko iskazivanje prihoda za izvor 11 i 43 i  na veću naplativost vlastiti</w:t>
      </w:r>
      <w:r>
        <w:rPr>
          <w:sz w:val="22"/>
          <w:szCs w:val="22"/>
        </w:rPr>
        <w:t>h prihoda i p</w:t>
      </w:r>
      <w:r w:rsidRPr="004D359A">
        <w:rPr>
          <w:sz w:val="22"/>
          <w:szCs w:val="22"/>
        </w:rPr>
        <w:t>rihoda po posebnim propisima</w:t>
      </w:r>
      <w:r>
        <w:rPr>
          <w:sz w:val="22"/>
          <w:szCs w:val="22"/>
        </w:rPr>
        <w:t xml:space="preserve"> koji se odnose na utužena potraživanja.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-422- Postrojenja i oprema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U odnosu na prethodno razdoblje bilježi se povećanje navedenih troškova radi nabave koncertnog klavira</w:t>
      </w:r>
      <w:r>
        <w:rPr>
          <w:sz w:val="22"/>
          <w:szCs w:val="22"/>
        </w:rPr>
        <w:t>, klasične gitare, tamburica, električnog pijanina, harmonike te ostalih glazbenih instrumenata.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lastRenderedPageBreak/>
        <w:t xml:space="preserve">ŠIFRA </w:t>
      </w:r>
      <w:r>
        <w:rPr>
          <w:b/>
          <w:sz w:val="22"/>
          <w:szCs w:val="22"/>
        </w:rPr>
        <w:t>-</w:t>
      </w:r>
      <w:r w:rsidRPr="004D359A">
        <w:rPr>
          <w:b/>
          <w:sz w:val="22"/>
          <w:szCs w:val="22"/>
        </w:rPr>
        <w:t xml:space="preserve">X067 -  Ukupni prihodi </w:t>
      </w:r>
    </w:p>
    <w:p w:rsidR="00813696" w:rsidRPr="004D359A" w:rsidRDefault="00813696" w:rsidP="00813696">
      <w:pPr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Evidentirani su prihodi iz:</w:t>
      </w:r>
    </w:p>
    <w:p w:rsidR="00813696" w:rsidRPr="004D359A" w:rsidRDefault="00813696" w:rsidP="00813696">
      <w:pPr>
        <w:numPr>
          <w:ilvl w:val="0"/>
          <w:numId w:val="1"/>
        </w:num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Državnog proračuna u iznosu </w:t>
      </w:r>
      <w:r>
        <w:rPr>
          <w:sz w:val="22"/>
          <w:szCs w:val="22"/>
        </w:rPr>
        <w:t>6.588.382,92</w:t>
      </w:r>
      <w:r w:rsidRPr="004D359A">
        <w:rPr>
          <w:sz w:val="22"/>
          <w:szCs w:val="22"/>
        </w:rPr>
        <w:t xml:space="preserve"> kn, a odnose se na financiranje rashoda </w:t>
      </w:r>
    </w:p>
    <w:p w:rsidR="00813696" w:rsidRPr="004D359A" w:rsidRDefault="00813696" w:rsidP="00813696">
      <w:pPr>
        <w:ind w:left="720"/>
        <w:jc w:val="both"/>
        <w:rPr>
          <w:sz w:val="22"/>
          <w:szCs w:val="22"/>
        </w:rPr>
      </w:pPr>
      <w:r w:rsidRPr="004D359A">
        <w:rPr>
          <w:sz w:val="22"/>
          <w:szCs w:val="22"/>
        </w:rPr>
        <w:t>za zaposlene (plaće, doprinosi na plaće, ostale rashode za zaposlene, nagrade,</w:t>
      </w:r>
    </w:p>
    <w:p w:rsidR="00813696" w:rsidRPr="004D359A" w:rsidRDefault="00813696" w:rsidP="00813696">
      <w:pPr>
        <w:numPr>
          <w:ilvl w:val="0"/>
          <w:numId w:val="1"/>
        </w:num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iz Gradskog proračuna u</w:t>
      </w:r>
      <w:r>
        <w:rPr>
          <w:sz w:val="22"/>
          <w:szCs w:val="22"/>
        </w:rPr>
        <w:t xml:space="preserve"> ukupnom</w:t>
      </w:r>
      <w:r w:rsidRPr="004D359A">
        <w:rPr>
          <w:sz w:val="22"/>
          <w:szCs w:val="22"/>
        </w:rPr>
        <w:t xml:space="preserve"> iznosu </w:t>
      </w:r>
      <w:r>
        <w:rPr>
          <w:sz w:val="22"/>
          <w:szCs w:val="22"/>
        </w:rPr>
        <w:t xml:space="preserve">1.064.683,53 </w:t>
      </w:r>
      <w:r w:rsidRPr="004D359A">
        <w:rPr>
          <w:sz w:val="22"/>
          <w:szCs w:val="22"/>
        </w:rPr>
        <w:t>kuna za financiranje materijalnih i financijskih rashoda neophodnih za obavljanje djelatnosti</w:t>
      </w:r>
      <w:r>
        <w:rPr>
          <w:sz w:val="22"/>
          <w:szCs w:val="22"/>
        </w:rPr>
        <w:t xml:space="preserve"> š</w:t>
      </w:r>
      <w:r w:rsidRPr="004D359A">
        <w:rPr>
          <w:sz w:val="22"/>
          <w:szCs w:val="22"/>
        </w:rPr>
        <w:t xml:space="preserve">kole, </w:t>
      </w:r>
      <w:r>
        <w:rPr>
          <w:sz w:val="22"/>
          <w:szCs w:val="22"/>
        </w:rPr>
        <w:t>od toga je 668.891,75 kuna utrošeno za nabavu nefinancijske imovine (glazbenih instrumenata), od kojih je 563.878,70 kuna utrošeno</w:t>
      </w:r>
      <w:r w:rsidRPr="004D359A">
        <w:rPr>
          <w:sz w:val="22"/>
          <w:szCs w:val="22"/>
        </w:rPr>
        <w:t xml:space="preserve"> </w:t>
      </w:r>
      <w:r>
        <w:rPr>
          <w:sz w:val="22"/>
          <w:szCs w:val="22"/>
        </w:rPr>
        <w:t>za nabavu koncertnog klavira, 105.013,05 kuna utrošeno je za nabavu ostalih glazbenih instrumenata. Ostatak je utrošen za financiranje materijalnih rashoda.</w:t>
      </w:r>
    </w:p>
    <w:p w:rsidR="00813696" w:rsidRPr="004D359A" w:rsidRDefault="00813696" w:rsidP="00813696">
      <w:pPr>
        <w:numPr>
          <w:ilvl w:val="0"/>
          <w:numId w:val="1"/>
        </w:num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Pomoći iz drugih proračuna u iznosu od </w:t>
      </w:r>
      <w:r>
        <w:rPr>
          <w:sz w:val="22"/>
          <w:szCs w:val="22"/>
        </w:rPr>
        <w:t>417.129,32 odnose se za podmirenje troškova zaposlenika.</w:t>
      </w:r>
    </w:p>
    <w:p w:rsidR="00813696" w:rsidRPr="0097299C" w:rsidRDefault="00813696" w:rsidP="00813696">
      <w:pPr>
        <w:numPr>
          <w:ilvl w:val="0"/>
          <w:numId w:val="1"/>
        </w:num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Ostali nespomenuti prihodi (participacija roditelja) u iznosu od </w:t>
      </w:r>
      <w:r>
        <w:rPr>
          <w:sz w:val="22"/>
          <w:szCs w:val="22"/>
        </w:rPr>
        <w:t>372.054,42</w:t>
      </w:r>
      <w:r w:rsidRPr="004D359A">
        <w:rPr>
          <w:sz w:val="22"/>
          <w:szCs w:val="22"/>
        </w:rPr>
        <w:t xml:space="preserve"> kn, prihodi od pruženih usluga u iznosu od </w:t>
      </w:r>
      <w:r>
        <w:rPr>
          <w:sz w:val="22"/>
          <w:szCs w:val="22"/>
        </w:rPr>
        <w:t>46.290,78</w:t>
      </w:r>
      <w:r w:rsidRPr="004D359A">
        <w:rPr>
          <w:sz w:val="22"/>
          <w:szCs w:val="22"/>
        </w:rPr>
        <w:t xml:space="preserve"> kn, ostali prihodi u iznosu od </w:t>
      </w:r>
      <w:r>
        <w:rPr>
          <w:sz w:val="22"/>
          <w:szCs w:val="22"/>
        </w:rPr>
        <w:t>8.110,69</w:t>
      </w:r>
      <w:r w:rsidRPr="004D359A">
        <w:rPr>
          <w:sz w:val="22"/>
          <w:szCs w:val="22"/>
        </w:rPr>
        <w:t xml:space="preserve"> </w:t>
      </w:r>
      <w:r>
        <w:rPr>
          <w:sz w:val="22"/>
          <w:szCs w:val="22"/>
        </w:rPr>
        <w:t>kn (prihodi nastali temeljem naplate troškova ovrhe)</w:t>
      </w:r>
      <w:r w:rsidRPr="004D359A">
        <w:rPr>
          <w:sz w:val="22"/>
          <w:szCs w:val="22"/>
        </w:rPr>
        <w:t xml:space="preserve"> te  prihodi od dijela prodanih stanova od </w:t>
      </w:r>
      <w:r>
        <w:rPr>
          <w:sz w:val="22"/>
          <w:szCs w:val="22"/>
        </w:rPr>
        <w:t>326,68</w:t>
      </w:r>
      <w:r w:rsidRPr="004D359A">
        <w:rPr>
          <w:sz w:val="22"/>
          <w:szCs w:val="22"/>
        </w:rPr>
        <w:t xml:space="preserve"> kn.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</w:t>
      </w:r>
      <w:r>
        <w:rPr>
          <w:b/>
          <w:sz w:val="22"/>
          <w:szCs w:val="22"/>
        </w:rPr>
        <w:t>-</w:t>
      </w:r>
      <w:r w:rsidRPr="004D359A">
        <w:rPr>
          <w:b/>
          <w:sz w:val="22"/>
          <w:szCs w:val="22"/>
        </w:rPr>
        <w:t xml:space="preserve">X004 –Ukupan višak prihoda 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Na ovoj poziciji iskazan je  višak prihoda i primitaka</w:t>
      </w:r>
      <w:r>
        <w:rPr>
          <w:sz w:val="22"/>
          <w:szCs w:val="22"/>
        </w:rPr>
        <w:t xml:space="preserve"> izvještajne 2022. godine u iznosu 46.601,71 kunu. Odnosi se na</w:t>
      </w:r>
      <w:r w:rsidRPr="004D359A">
        <w:rPr>
          <w:sz w:val="22"/>
          <w:szCs w:val="22"/>
        </w:rPr>
        <w:t xml:space="preserve"> Opće</w:t>
      </w:r>
      <w:r>
        <w:rPr>
          <w:sz w:val="22"/>
          <w:szCs w:val="22"/>
        </w:rPr>
        <w:t xml:space="preserve"> prihode i primitke, za Pomoći izravnanja za decentralizirane funkcije, Vlastite prihode i Prihode po posebnim propisima.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</w:pPr>
    </w:p>
    <w:p w:rsidR="00813696" w:rsidRDefault="00813696" w:rsidP="00813696">
      <w:pPr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  </w:t>
      </w:r>
      <w:r w:rsidRPr="00A26FB1">
        <w:rPr>
          <w:b/>
          <w:sz w:val="22"/>
          <w:szCs w:val="22"/>
        </w:rPr>
        <w:t>Bilješke uz obrazac Bilanca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-B002- Nefinancijska imovina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>Uspoređujući stanje imovine na početku i na kraju proračunske godine vidljivo je povećanje imovine radi prebijanja novo nabavljene imovine u vrijednosti od 715.951.,45 kn. U 2022. godini nabavljen je klavir, klasična gitara, truba, električni pijanino, harmonika, printer.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-026 i 02926- Nematerijalna proizvedena imovina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 xml:space="preserve">Tijekom 2022. godine izvršen je ispravak vrijednosti nematerijalne imovine sukladno zakonskim propisima. 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-042- Sitni inventar i auto gume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 xml:space="preserve">U 2022.godini nabavljen je sitni inventar u vrijednosti od 19.323,96 kn. Sukladno uputama predan je  otpisani i neispravni sitni inventar na pravilno zbrinjavanje. 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 xml:space="preserve">  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-129- Ostala potraživanja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>Ovdje je zabilježeno potraživanje za bolovanje preko 42 dana od HZZO od 8.279,55 kn, smanjeno prema uputama za izvršenu kompenzaciju između subjekata.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-165- Potraživanje za upravne i administrativne pristojbe, pristojbe po posebnim propisima i  naknade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 xml:space="preserve">Potraživanja za prihode po posebnim propisima iznose 49.918,22 kn, a odnose se na nepodmirene račune za participaciju roditelja-staratelja za školarinu, a  koja su  usklađena prema čl.80.st.6.t.6.Pravilnika.  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-166- Potraživanje za prihode od prodaje proizvoda i robe te pruženih usluga i za povrat po protestiranim jamstvima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>Potraživanje za prihode  iz ranijih razdoblja većim dijelom izvršene su uplate tijekom 2022.godine. Vidljivo povećanje potraživanja odnosi se na neplaćene račune iz 12/2022.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 xml:space="preserve">ŠIFRA -167- Potraživanja proračunskih korisnika za sredstva uplaćena u nadležni proračun 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 xml:space="preserve">Iskazano potraživanje odnosi se na neutrošena sredstva na </w:t>
      </w:r>
      <w:proofErr w:type="spellStart"/>
      <w:r w:rsidRPr="00A26FB1">
        <w:rPr>
          <w:sz w:val="22"/>
          <w:szCs w:val="22"/>
        </w:rPr>
        <w:t>podračunu</w:t>
      </w:r>
      <w:proofErr w:type="spellEnd"/>
      <w:r w:rsidRPr="00A26FB1">
        <w:rPr>
          <w:sz w:val="22"/>
          <w:szCs w:val="22"/>
        </w:rPr>
        <w:t xml:space="preserve"> škole.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– 19- Kontinuirani rashod budućih razdoblja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>Na ovoj poziciji zabilježeni su rashodi za zaposlene za obračunatu plaću za prosinac 2022.godine, sukladno čl.39.st.2. Pravilnika o proračunskom računovodstvu.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-2- Obveze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>Obveze za zaposlene bilježe neznatan rast kao rezultat provođenja Uredbe o izmjeni  naziva radnih mjesta i koeficijenata  NN 119/2019.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>ŠIFRA -29- Naplaćeni prihodi budućeg razdoblja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t>Na ovoj poziciji knjižena je unaprijed plaćena participacija roditelja za školarinu (301,38 kn).</w:t>
      </w: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 xml:space="preserve">ŠIFRA – 991-996- </w:t>
      </w:r>
      <w:proofErr w:type="spellStart"/>
      <w:r w:rsidRPr="00A26FB1">
        <w:rPr>
          <w:b/>
          <w:sz w:val="22"/>
          <w:szCs w:val="22"/>
        </w:rPr>
        <w:t>Izvanbilančni</w:t>
      </w:r>
      <w:proofErr w:type="spellEnd"/>
      <w:r w:rsidRPr="00A26FB1">
        <w:rPr>
          <w:b/>
          <w:sz w:val="22"/>
          <w:szCs w:val="22"/>
        </w:rPr>
        <w:t xml:space="preserve"> zapisi</w:t>
      </w:r>
    </w:p>
    <w:p w:rsidR="00813696" w:rsidRPr="00A26FB1" w:rsidRDefault="00813696" w:rsidP="00813696">
      <w:pPr>
        <w:jc w:val="both"/>
        <w:rPr>
          <w:b/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  <w:r w:rsidRPr="00A26FB1">
        <w:rPr>
          <w:sz w:val="22"/>
          <w:szCs w:val="22"/>
        </w:rPr>
        <w:lastRenderedPageBreak/>
        <w:t xml:space="preserve">Na ovoj poziciji zabilježena  je  vrijednost opreme u sklopu projekta e-škole, te primljeni instrumenti osiguranja plaćanja za građevinske radove, te procijenjena vrijednost sudskih sporova u tijeku. </w:t>
      </w: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center"/>
        <w:rPr>
          <w:b/>
          <w:sz w:val="22"/>
          <w:szCs w:val="22"/>
        </w:rPr>
      </w:pPr>
      <w:r w:rsidRPr="00A26FB1">
        <w:rPr>
          <w:b/>
          <w:sz w:val="22"/>
          <w:szCs w:val="22"/>
        </w:rPr>
        <w:t xml:space="preserve">Bilješke uz obrazac RAS </w:t>
      </w:r>
      <w:r>
        <w:rPr>
          <w:b/>
          <w:sz w:val="22"/>
          <w:szCs w:val="22"/>
        </w:rPr>
        <w:t>–</w:t>
      </w:r>
      <w:r w:rsidRPr="00A26FB1">
        <w:rPr>
          <w:b/>
          <w:sz w:val="22"/>
          <w:szCs w:val="22"/>
        </w:rPr>
        <w:t xml:space="preserve"> funkcijski</w:t>
      </w:r>
    </w:p>
    <w:p w:rsidR="00813696" w:rsidRDefault="00813696" w:rsidP="00813696">
      <w:pPr>
        <w:jc w:val="center"/>
        <w:rPr>
          <w:b/>
          <w:sz w:val="22"/>
          <w:szCs w:val="22"/>
        </w:rPr>
      </w:pPr>
    </w:p>
    <w:p w:rsidR="00813696" w:rsidRDefault="00813696" w:rsidP="00813696">
      <w:pPr>
        <w:rPr>
          <w:b/>
          <w:sz w:val="22"/>
          <w:szCs w:val="22"/>
        </w:rPr>
      </w:pPr>
      <w:r>
        <w:rPr>
          <w:b/>
          <w:sz w:val="22"/>
          <w:szCs w:val="22"/>
        </w:rPr>
        <w:t>ŠIFRA -0911- Predškolsko obrazovanje</w:t>
      </w:r>
    </w:p>
    <w:p w:rsidR="00813696" w:rsidRDefault="00813696" w:rsidP="00813696">
      <w:pPr>
        <w:rPr>
          <w:b/>
          <w:sz w:val="22"/>
          <w:szCs w:val="22"/>
        </w:rPr>
      </w:pPr>
    </w:p>
    <w:p w:rsidR="00813696" w:rsidRDefault="00813696" w:rsidP="00813696">
      <w:pPr>
        <w:rPr>
          <w:sz w:val="22"/>
          <w:szCs w:val="22"/>
        </w:rPr>
      </w:pPr>
      <w:r>
        <w:rPr>
          <w:sz w:val="22"/>
          <w:szCs w:val="22"/>
        </w:rPr>
        <w:t>Predškolsko obrazovanje ostvarilo je troškove u iznosu 53.665,67 kn, a odnose se na rashode za nabavu nefinancijske imovine u iznosu od 9.293,05 kn i za materijalne rashode u iznosu 44.372,62 kn.</w:t>
      </w:r>
    </w:p>
    <w:p w:rsidR="00813696" w:rsidRDefault="00813696" w:rsidP="00813696">
      <w:pPr>
        <w:rPr>
          <w:sz w:val="22"/>
          <w:szCs w:val="22"/>
        </w:rPr>
      </w:pPr>
    </w:p>
    <w:p w:rsidR="00813696" w:rsidRDefault="00813696" w:rsidP="00813696">
      <w:pPr>
        <w:rPr>
          <w:b/>
          <w:sz w:val="22"/>
          <w:szCs w:val="22"/>
        </w:rPr>
      </w:pPr>
      <w:r>
        <w:rPr>
          <w:b/>
          <w:sz w:val="22"/>
          <w:szCs w:val="22"/>
        </w:rPr>
        <w:t>ŠIFRA -0912- Osnovno obrazovanje</w:t>
      </w:r>
    </w:p>
    <w:p w:rsidR="00813696" w:rsidRDefault="00813696" w:rsidP="00813696">
      <w:pPr>
        <w:rPr>
          <w:b/>
          <w:sz w:val="22"/>
          <w:szCs w:val="22"/>
        </w:rPr>
      </w:pPr>
    </w:p>
    <w:p w:rsidR="00813696" w:rsidRPr="00A26FB1" w:rsidRDefault="00813696" w:rsidP="00813696">
      <w:pPr>
        <w:rPr>
          <w:sz w:val="22"/>
          <w:szCs w:val="22"/>
        </w:rPr>
      </w:pPr>
      <w:r>
        <w:rPr>
          <w:sz w:val="22"/>
          <w:szCs w:val="22"/>
        </w:rPr>
        <w:t>Osnovnoškolsko i srednjoškolsko obrazovanje ostvarilo je troškove u iznosu 8.396.710,96 kn. Odnosi se na rashode za nabavu nefinancijske imovine u iznosu od 706.658,40 kn, te za materijalne rashode u iznosu od 7.690.052,56 kn.</w:t>
      </w: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Pr="00A26FB1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center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Bilješke uz Obrazac </w:t>
      </w:r>
      <w:r>
        <w:rPr>
          <w:b/>
          <w:sz w:val="22"/>
          <w:szCs w:val="22"/>
        </w:rPr>
        <w:t>P-VRIO</w:t>
      </w:r>
    </w:p>
    <w:p w:rsidR="00813696" w:rsidRDefault="00813696" w:rsidP="00813696">
      <w:pPr>
        <w:jc w:val="center"/>
        <w:rPr>
          <w:b/>
          <w:sz w:val="22"/>
          <w:szCs w:val="22"/>
        </w:rPr>
      </w:pPr>
    </w:p>
    <w:p w:rsidR="00813696" w:rsidRPr="004600A3" w:rsidRDefault="00813696" w:rsidP="00813696">
      <w:pPr>
        <w:jc w:val="both"/>
        <w:rPr>
          <w:sz w:val="22"/>
          <w:szCs w:val="22"/>
        </w:rPr>
      </w:pPr>
      <w:r>
        <w:rPr>
          <w:sz w:val="22"/>
          <w:szCs w:val="22"/>
        </w:rPr>
        <w:t>Za račune iz računskog plana podskupine 915 Glazbene škole Alberta Štrige Križevci nema prometa u 2022. godini.</w:t>
      </w:r>
    </w:p>
    <w:p w:rsidR="00813696" w:rsidRDefault="00813696" w:rsidP="00813696">
      <w:pPr>
        <w:jc w:val="both"/>
        <w:rPr>
          <w:b/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center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Bilješke uz Obrazac Obveze</w:t>
      </w:r>
    </w:p>
    <w:p w:rsidR="00813696" w:rsidRPr="004D359A" w:rsidRDefault="00813696" w:rsidP="00813696">
      <w:pPr>
        <w:jc w:val="center"/>
        <w:rPr>
          <w:b/>
          <w:sz w:val="22"/>
          <w:szCs w:val="22"/>
        </w:rPr>
      </w:pPr>
    </w:p>
    <w:p w:rsidR="00813696" w:rsidRPr="004D359A" w:rsidRDefault="00813696" w:rsidP="00813696">
      <w:pPr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 xml:space="preserve">ŠIFRA V001-Stanje obveza </w:t>
      </w:r>
      <w:r>
        <w:rPr>
          <w:b/>
          <w:sz w:val="22"/>
          <w:szCs w:val="22"/>
        </w:rPr>
        <w:t>1. siječnja</w:t>
      </w:r>
    </w:p>
    <w:p w:rsidR="00813696" w:rsidRPr="004D359A" w:rsidRDefault="00813696" w:rsidP="00813696">
      <w:pPr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Na ovom AOP-u iskazana je obveza za plaću za 12.mjesec 202</w:t>
      </w:r>
      <w:r>
        <w:rPr>
          <w:sz w:val="22"/>
          <w:szCs w:val="22"/>
        </w:rPr>
        <w:t>1</w:t>
      </w:r>
      <w:r w:rsidRPr="004D359A">
        <w:rPr>
          <w:sz w:val="22"/>
          <w:szCs w:val="22"/>
        </w:rPr>
        <w:t>.g. i materijalne rashode  za prosinac 202</w:t>
      </w:r>
      <w:r>
        <w:rPr>
          <w:sz w:val="22"/>
          <w:szCs w:val="22"/>
        </w:rPr>
        <w:t>1</w:t>
      </w:r>
      <w:r w:rsidRPr="004D35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D359A">
        <w:rPr>
          <w:sz w:val="22"/>
          <w:szCs w:val="22"/>
        </w:rPr>
        <w:t>god.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V00</w:t>
      </w:r>
      <w:r>
        <w:rPr>
          <w:b/>
          <w:sz w:val="22"/>
          <w:szCs w:val="22"/>
        </w:rPr>
        <w:t>3</w:t>
      </w:r>
      <w:r w:rsidRPr="004D359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Međusobne obveze subjekata općeg proračuna</w:t>
      </w:r>
    </w:p>
    <w:p w:rsidR="00813696" w:rsidRDefault="00813696" w:rsidP="00813696">
      <w:pPr>
        <w:jc w:val="both"/>
        <w:rPr>
          <w:b/>
          <w:sz w:val="22"/>
          <w:szCs w:val="22"/>
        </w:rPr>
      </w:pPr>
    </w:p>
    <w:p w:rsidR="00813696" w:rsidRPr="00AF2B4D" w:rsidRDefault="00813696" w:rsidP="00813696">
      <w:pPr>
        <w:jc w:val="both"/>
        <w:rPr>
          <w:sz w:val="22"/>
          <w:szCs w:val="22"/>
        </w:rPr>
      </w:pPr>
      <w:r>
        <w:rPr>
          <w:sz w:val="22"/>
          <w:szCs w:val="22"/>
        </w:rPr>
        <w:t>Iznos se odnosi na neprovedenu kompenzaciju HZZO i MZO.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V006-Stanje  obveza na kraju izvještajnog razdoblja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Ovdje je iskazana obveza za zaposlene u iznosu od </w:t>
      </w:r>
      <w:r>
        <w:rPr>
          <w:sz w:val="22"/>
          <w:szCs w:val="22"/>
        </w:rPr>
        <w:t>550.592,46</w:t>
      </w:r>
      <w:r w:rsidRPr="004D359A">
        <w:rPr>
          <w:sz w:val="22"/>
          <w:szCs w:val="22"/>
        </w:rPr>
        <w:t xml:space="preserve"> kn, </w:t>
      </w:r>
      <w:r>
        <w:rPr>
          <w:sz w:val="22"/>
          <w:szCs w:val="22"/>
        </w:rPr>
        <w:t>a odnosi se na plaću za prosinac</w:t>
      </w:r>
      <w:r w:rsidRPr="004D359A">
        <w:rPr>
          <w:sz w:val="22"/>
          <w:szCs w:val="22"/>
        </w:rPr>
        <w:t xml:space="preserve"> 2022.god., za materijalne rashode</w:t>
      </w:r>
      <w:r>
        <w:rPr>
          <w:sz w:val="22"/>
          <w:szCs w:val="22"/>
        </w:rPr>
        <w:t xml:space="preserve"> 295.115,82 kn</w:t>
      </w:r>
      <w:r w:rsidRPr="004D359A">
        <w:rPr>
          <w:sz w:val="22"/>
          <w:szCs w:val="22"/>
        </w:rPr>
        <w:t xml:space="preserve"> i ostale tekuće obveze </w:t>
      </w:r>
      <w:r>
        <w:rPr>
          <w:sz w:val="22"/>
          <w:szCs w:val="22"/>
        </w:rPr>
        <w:t>u iznosu od 10.256,75 kn</w:t>
      </w:r>
      <w:r w:rsidRPr="004D359A">
        <w:rPr>
          <w:sz w:val="22"/>
          <w:szCs w:val="22"/>
        </w:rPr>
        <w:t xml:space="preserve">. Zbog  procedure primitka i naplate računa iste nisu mogle biti podmirene do kraja izvještajnog razdoblja.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  <w:r w:rsidRPr="004D359A">
        <w:rPr>
          <w:b/>
          <w:sz w:val="22"/>
          <w:szCs w:val="22"/>
        </w:rPr>
        <w:t>ŠIFRA V009-Stanje nedospjelih obveza na kraju izvještajnog razdoblja</w:t>
      </w:r>
    </w:p>
    <w:p w:rsidR="00813696" w:rsidRPr="004D359A" w:rsidRDefault="00813696" w:rsidP="00813696">
      <w:pPr>
        <w:jc w:val="both"/>
        <w:rPr>
          <w:b/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 xml:space="preserve">Na ovoj poziciji zabilježene su obveze za plaću zaposlenika za </w:t>
      </w:r>
      <w:r>
        <w:rPr>
          <w:sz w:val="22"/>
          <w:szCs w:val="22"/>
        </w:rPr>
        <w:t>prosinac</w:t>
      </w:r>
      <w:r w:rsidRPr="004D359A">
        <w:rPr>
          <w:sz w:val="22"/>
          <w:szCs w:val="22"/>
        </w:rPr>
        <w:t xml:space="preserve"> 2022.godine, za materijalne rashode  kojima  nije bila valuta plaćanja do kraja izvještajnog razdob</w:t>
      </w:r>
      <w:r>
        <w:rPr>
          <w:sz w:val="22"/>
          <w:szCs w:val="22"/>
        </w:rPr>
        <w:t>lja, te za ostale tekuće obveze</w:t>
      </w:r>
      <w:r w:rsidRPr="004D359A">
        <w:rPr>
          <w:sz w:val="22"/>
          <w:szCs w:val="22"/>
        </w:rPr>
        <w:t xml:space="preserve">.  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Križevci,</w:t>
      </w:r>
      <w:r>
        <w:rPr>
          <w:sz w:val="22"/>
          <w:szCs w:val="22"/>
        </w:rPr>
        <w:t xml:space="preserve"> 31.1.2023.</w:t>
      </w:r>
    </w:p>
    <w:p w:rsidR="00813696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4D359A" w:rsidRDefault="00813696" w:rsidP="00813696">
      <w:pPr>
        <w:jc w:val="both"/>
        <w:rPr>
          <w:sz w:val="22"/>
          <w:szCs w:val="22"/>
        </w:rPr>
      </w:pPr>
      <w:r w:rsidRPr="004D359A">
        <w:rPr>
          <w:sz w:val="22"/>
          <w:szCs w:val="22"/>
        </w:rPr>
        <w:t>Voditelj računovodstva:                                                                  Ravnateljica:</w:t>
      </w:r>
    </w:p>
    <w:p w:rsidR="00813696" w:rsidRPr="004D359A" w:rsidRDefault="00813696" w:rsidP="00813696">
      <w:pPr>
        <w:jc w:val="both"/>
        <w:rPr>
          <w:sz w:val="22"/>
          <w:szCs w:val="22"/>
        </w:rPr>
      </w:pPr>
    </w:p>
    <w:p w:rsidR="00813696" w:rsidRPr="0097299C" w:rsidRDefault="00813696" w:rsidP="00813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Marija </w:t>
      </w:r>
      <w:proofErr w:type="spellStart"/>
      <w:r>
        <w:rPr>
          <w:sz w:val="22"/>
          <w:szCs w:val="22"/>
        </w:rPr>
        <w:t>Manjkas</w:t>
      </w:r>
      <w:proofErr w:type="spellEnd"/>
      <w:r>
        <w:rPr>
          <w:sz w:val="22"/>
          <w:szCs w:val="22"/>
        </w:rPr>
        <w:t xml:space="preserve">      </w:t>
      </w:r>
      <w:r w:rsidRPr="004D359A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>Branka Špoljar, pro</w:t>
      </w:r>
    </w:p>
    <w:tbl>
      <w:tblPr>
        <w:tblpPr w:leftFromText="180" w:rightFromText="180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813696" w:rsidRPr="003100BD" w:rsidTr="00A434DF">
        <w:trPr>
          <w:trHeight w:val="283"/>
        </w:trPr>
        <w:tc>
          <w:tcPr>
            <w:tcW w:w="1951" w:type="dxa"/>
            <w:vAlign w:val="center"/>
          </w:tcPr>
          <w:p w:rsidR="00813696" w:rsidRPr="003100BD" w:rsidRDefault="00813696" w:rsidP="00A434DF">
            <w:pPr>
              <w:ind w:left="-6120" w:firstLine="6120"/>
              <w:rPr>
                <w:rFonts w:ascii="Calibri" w:hAnsi="Calibri" w:cs="Arial"/>
              </w:rPr>
            </w:pPr>
            <w:r w:rsidRPr="003100BD">
              <w:rPr>
                <w:rFonts w:ascii="Calibri" w:hAnsi="Calibri" w:cs="Arial"/>
              </w:rPr>
              <w:lastRenderedPageBreak/>
              <w:t>OIB:</w:t>
            </w:r>
          </w:p>
        </w:tc>
        <w:tc>
          <w:tcPr>
            <w:tcW w:w="170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00447860778</w:t>
            </w:r>
          </w:p>
        </w:tc>
      </w:tr>
      <w:tr w:rsidR="00813696" w:rsidRPr="003100BD" w:rsidTr="00A434DF">
        <w:trPr>
          <w:trHeight w:val="283"/>
        </w:trPr>
        <w:tc>
          <w:tcPr>
            <w:tcW w:w="195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 w:rsidRPr="003100BD">
              <w:rPr>
                <w:rFonts w:ascii="Calibri" w:hAnsi="Calibri" w:cs="Arial"/>
              </w:rPr>
              <w:t>Matični broj:</w:t>
            </w:r>
          </w:p>
        </w:tc>
        <w:tc>
          <w:tcPr>
            <w:tcW w:w="170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03003345</w:t>
            </w:r>
          </w:p>
        </w:tc>
      </w:tr>
      <w:tr w:rsidR="00813696" w:rsidRPr="003100BD" w:rsidTr="00A434DF">
        <w:trPr>
          <w:trHeight w:val="283"/>
        </w:trPr>
        <w:tc>
          <w:tcPr>
            <w:tcW w:w="195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 w:rsidRPr="003100BD">
              <w:rPr>
                <w:rFonts w:ascii="Calibri" w:hAnsi="Calibri" w:cs="Arial"/>
              </w:rPr>
              <w:t>Broj RKP-a:</w:t>
            </w:r>
          </w:p>
        </w:tc>
        <w:tc>
          <w:tcPr>
            <w:tcW w:w="170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08623</w:t>
            </w:r>
          </w:p>
        </w:tc>
      </w:tr>
      <w:tr w:rsidR="00813696" w:rsidRPr="003100BD" w:rsidTr="00A434DF">
        <w:trPr>
          <w:trHeight w:val="283"/>
        </w:trPr>
        <w:tc>
          <w:tcPr>
            <w:tcW w:w="195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 w:rsidRPr="003100BD">
              <w:rPr>
                <w:rFonts w:ascii="Calibri" w:hAnsi="Calibri" w:cs="Arial"/>
              </w:rPr>
              <w:t>Šifra djelatnosti:</w:t>
            </w:r>
          </w:p>
        </w:tc>
        <w:tc>
          <w:tcPr>
            <w:tcW w:w="170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8532</w:t>
            </w:r>
          </w:p>
        </w:tc>
      </w:tr>
      <w:tr w:rsidR="00813696" w:rsidRPr="003100BD" w:rsidTr="00A434DF">
        <w:trPr>
          <w:trHeight w:val="283"/>
        </w:trPr>
        <w:tc>
          <w:tcPr>
            <w:tcW w:w="195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Šifra g</w:t>
            </w:r>
            <w:r w:rsidRPr="003100BD">
              <w:rPr>
                <w:rFonts w:ascii="Calibri" w:hAnsi="Calibri" w:cs="Arial"/>
              </w:rPr>
              <w:t>rada:</w:t>
            </w:r>
          </w:p>
        </w:tc>
        <w:tc>
          <w:tcPr>
            <w:tcW w:w="1701" w:type="dxa"/>
            <w:vAlign w:val="center"/>
          </w:tcPr>
          <w:p w:rsidR="00813696" w:rsidRPr="003100BD" w:rsidRDefault="00813696" w:rsidP="00A434DF">
            <w:pPr>
              <w:rPr>
                <w:rFonts w:ascii="Calibri" w:hAnsi="Calibri" w:cs="Arial"/>
              </w:rPr>
            </w:pPr>
            <w:r w:rsidRPr="003100BD">
              <w:rPr>
                <w:rFonts w:ascii="Calibri" w:hAnsi="Calibri" w:cs="Arial"/>
              </w:rPr>
              <w:t>214</w:t>
            </w:r>
          </w:p>
        </w:tc>
      </w:tr>
    </w:tbl>
    <w:p w:rsidR="00813696" w:rsidRDefault="00813696" w:rsidP="00813696">
      <w:pPr>
        <w:ind w:right="-131"/>
        <w:rPr>
          <w:rFonts w:ascii="Calibri" w:hAnsi="Calibri" w:cs="Arial"/>
          <w:b/>
          <w:sz w:val="26"/>
          <w:szCs w:val="26"/>
        </w:rPr>
      </w:pPr>
    </w:p>
    <w:p w:rsidR="00813696" w:rsidRDefault="00813696" w:rsidP="00813696">
      <w:pPr>
        <w:ind w:right="-131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GLAZBENA ŠKOLA ALBERTA ŠTRIGE</w:t>
      </w:r>
    </w:p>
    <w:p w:rsidR="00813696" w:rsidRPr="00A76CB0" w:rsidRDefault="00813696" w:rsidP="00813696">
      <w:pPr>
        <w:ind w:right="-131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A.G.MATOŠA 4</w:t>
      </w:r>
    </w:p>
    <w:p w:rsidR="00813696" w:rsidRPr="00A76CB0" w:rsidRDefault="00813696" w:rsidP="00813696">
      <w:pPr>
        <w:ind w:right="-131"/>
        <w:rPr>
          <w:rFonts w:ascii="Calibri" w:hAnsi="Calibri" w:cs="Arial"/>
          <w:sz w:val="26"/>
          <w:szCs w:val="26"/>
        </w:rPr>
      </w:pPr>
      <w:r w:rsidRPr="00A76CB0">
        <w:rPr>
          <w:rFonts w:ascii="Calibri" w:hAnsi="Calibri" w:cs="Arial"/>
          <w:sz w:val="26"/>
          <w:szCs w:val="26"/>
        </w:rPr>
        <w:t>48260 Križevci</w:t>
      </w:r>
    </w:p>
    <w:p w:rsidR="00813696" w:rsidRPr="00A76CB0" w:rsidRDefault="00813696" w:rsidP="00813696">
      <w:pPr>
        <w:rPr>
          <w:rFonts w:ascii="Calibri" w:hAnsi="Calibri" w:cs="Arial"/>
          <w:sz w:val="26"/>
          <w:szCs w:val="26"/>
        </w:rPr>
      </w:pPr>
    </w:p>
    <w:p w:rsidR="00813696" w:rsidRPr="00A76CB0" w:rsidRDefault="00813696" w:rsidP="00813696">
      <w:pPr>
        <w:ind w:right="-131"/>
        <w:rPr>
          <w:rFonts w:ascii="Calibri" w:hAnsi="Calibri" w:cs="Arial"/>
          <w:b/>
          <w:sz w:val="26"/>
          <w:szCs w:val="26"/>
        </w:rPr>
      </w:pPr>
      <w:r w:rsidRPr="00A76CB0">
        <w:rPr>
          <w:rFonts w:ascii="Calibri" w:hAnsi="Calibri" w:cs="Arial"/>
          <w:b/>
          <w:sz w:val="26"/>
          <w:szCs w:val="26"/>
        </w:rPr>
        <w:t xml:space="preserve">Razina </w:t>
      </w:r>
      <w:r>
        <w:rPr>
          <w:rFonts w:ascii="Calibri" w:hAnsi="Calibri" w:cs="Arial"/>
          <w:b/>
          <w:sz w:val="26"/>
          <w:szCs w:val="26"/>
        </w:rPr>
        <w:t>31</w:t>
      </w:r>
    </w:p>
    <w:p w:rsidR="00813696" w:rsidRPr="00A76CB0" w:rsidRDefault="00813696" w:rsidP="00813696">
      <w:pPr>
        <w:jc w:val="center"/>
        <w:rPr>
          <w:rFonts w:ascii="Calibri" w:hAnsi="Calibri" w:cs="Arial"/>
          <w:b/>
          <w:sz w:val="28"/>
          <w:szCs w:val="28"/>
        </w:rPr>
      </w:pPr>
      <w:r w:rsidRPr="00A76CB0">
        <w:rPr>
          <w:rFonts w:ascii="Calibri" w:hAnsi="Calibri" w:cs="Arial"/>
          <w:b/>
          <w:sz w:val="28"/>
          <w:szCs w:val="28"/>
        </w:rPr>
        <w:t xml:space="preserve">OBVEZNE BILJEŠKE UZ BILANCU </w:t>
      </w:r>
    </w:p>
    <w:p w:rsidR="00813696" w:rsidRPr="00A76CB0" w:rsidRDefault="00813696" w:rsidP="0081369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na dan</w:t>
      </w:r>
      <w:r w:rsidRPr="00A76CB0">
        <w:rPr>
          <w:rFonts w:ascii="Calibri" w:hAnsi="Calibri" w:cs="Arial"/>
          <w:b/>
          <w:sz w:val="28"/>
          <w:szCs w:val="28"/>
        </w:rPr>
        <w:t xml:space="preserve"> 31. prosinca 2</w:t>
      </w:r>
      <w:r>
        <w:rPr>
          <w:rFonts w:ascii="Calibri" w:hAnsi="Calibri" w:cs="Arial"/>
          <w:b/>
          <w:sz w:val="28"/>
          <w:szCs w:val="28"/>
        </w:rPr>
        <w:t>022</w:t>
      </w:r>
      <w:r w:rsidRPr="00A76CB0">
        <w:rPr>
          <w:rFonts w:ascii="Calibri" w:hAnsi="Calibri" w:cs="Arial"/>
          <w:b/>
          <w:sz w:val="28"/>
          <w:szCs w:val="28"/>
        </w:rPr>
        <w:t>. godine</w:t>
      </w:r>
    </w:p>
    <w:p w:rsidR="00813696" w:rsidRDefault="00813696" w:rsidP="00813696">
      <w:pPr>
        <w:jc w:val="both"/>
        <w:rPr>
          <w:rFonts w:ascii="Calibri" w:hAnsi="Calibri" w:cs="Arial"/>
        </w:rPr>
      </w:pPr>
    </w:p>
    <w:p w:rsidR="00813696" w:rsidRPr="00F252D2" w:rsidRDefault="00813696" w:rsidP="00813696">
      <w:pPr>
        <w:jc w:val="both"/>
        <w:rPr>
          <w:rFonts w:ascii="Calibri" w:hAnsi="Calibri" w:cs="Arial"/>
        </w:rPr>
      </w:pPr>
    </w:p>
    <w:p w:rsidR="00813696" w:rsidRPr="004C05B9" w:rsidRDefault="00813696" w:rsidP="00813696">
      <w:pPr>
        <w:jc w:val="both"/>
        <w:rPr>
          <w:rFonts w:ascii="Calibri" w:hAnsi="Calibri" w:cs="Arial"/>
          <w:b/>
          <w:sz w:val="23"/>
          <w:szCs w:val="23"/>
        </w:rPr>
      </w:pPr>
      <w:r w:rsidRPr="004C05B9">
        <w:rPr>
          <w:rFonts w:ascii="Calibri" w:hAnsi="Calibri" w:cs="Arial"/>
          <w:b/>
          <w:sz w:val="23"/>
          <w:szCs w:val="23"/>
        </w:rPr>
        <w:t>1. POPIS UGOVORNIH ODNOSA I SLIČNO KOJI UZ ISPUNJENJE ODREĐENIH UVJETA, MOGU POSTATI OBVEZA ILI IMOVINA</w:t>
      </w:r>
    </w:p>
    <w:p w:rsidR="00813696" w:rsidRDefault="00813696" w:rsidP="00813696">
      <w:pPr>
        <w:jc w:val="both"/>
        <w:rPr>
          <w:rFonts w:ascii="Calibri" w:hAnsi="Calibri" w:cs="Arial"/>
          <w:sz w:val="23"/>
          <w:szCs w:val="23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469"/>
        <w:gridCol w:w="1564"/>
      </w:tblGrid>
      <w:tr w:rsidR="00813696" w:rsidRPr="00F252D2" w:rsidTr="00A434DF">
        <w:trPr>
          <w:trHeight w:val="397"/>
          <w:jc w:val="center"/>
        </w:trPr>
        <w:tc>
          <w:tcPr>
            <w:tcW w:w="9552" w:type="dxa"/>
            <w:gridSpan w:val="3"/>
            <w:shd w:val="clear" w:color="auto" w:fill="D9D9D9"/>
            <w:vAlign w:val="center"/>
          </w:tcPr>
          <w:p w:rsidR="00813696" w:rsidRPr="00F252D2" w:rsidRDefault="00813696" w:rsidP="00A434DF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813696" w:rsidRPr="00F252D2" w:rsidTr="00A434DF">
        <w:trPr>
          <w:trHeight w:val="680"/>
          <w:jc w:val="center"/>
        </w:trPr>
        <w:tc>
          <w:tcPr>
            <w:tcW w:w="519" w:type="dxa"/>
            <w:vAlign w:val="center"/>
          </w:tcPr>
          <w:p w:rsidR="00813696" w:rsidRPr="00F252D2" w:rsidRDefault="00813696" w:rsidP="00A434DF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</w:t>
            </w:r>
          </w:p>
        </w:tc>
        <w:tc>
          <w:tcPr>
            <w:tcW w:w="7469" w:type="dxa"/>
            <w:vAlign w:val="center"/>
          </w:tcPr>
          <w:p w:rsidR="00813696" w:rsidRPr="00F252D2" w:rsidRDefault="00813696" w:rsidP="00A434DF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Oprema iz projekta e-ŠKOLE –prijenosna računala </w:t>
            </w:r>
          </w:p>
        </w:tc>
        <w:tc>
          <w:tcPr>
            <w:tcW w:w="1564" w:type="dxa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142.023,00</w:t>
            </w: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9552" w:type="dxa"/>
            <w:gridSpan w:val="3"/>
            <w:shd w:val="clear" w:color="auto" w:fill="auto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955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3696" w:rsidRPr="00F252D2" w:rsidRDefault="00813696" w:rsidP="00A434DF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252D2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Primljeni instrumenti osiguranja plaćanja</w:t>
            </w: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519" w:type="dxa"/>
            <w:vAlign w:val="center"/>
          </w:tcPr>
          <w:p w:rsidR="00813696" w:rsidRPr="00F252D2" w:rsidRDefault="00813696" w:rsidP="00A434DF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F252D2">
              <w:rPr>
                <w:rFonts w:ascii="Calibri" w:hAnsi="Calibri" w:cs="Arial"/>
                <w:sz w:val="23"/>
                <w:szCs w:val="23"/>
              </w:rPr>
              <w:t>1.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6" w:rsidRPr="00F252D2" w:rsidRDefault="00813696" w:rsidP="00A434D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Glazbena škola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A.Štrige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Križevci ima primljenih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instumenata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osiguranja plaćanja  -bjanko zadužnica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70.000,00 </w:t>
            </w: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798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13696" w:rsidRPr="00F252D2" w:rsidRDefault="00813696" w:rsidP="00A434DF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252D2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Ukupno primljeni instrumenti osiguranja plaćanja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70.000,00</w:t>
            </w: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9552" w:type="dxa"/>
            <w:gridSpan w:val="3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96" w:rsidRPr="00F252D2" w:rsidRDefault="00813696" w:rsidP="00A434DF">
            <w:pPr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F252D2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Dani instrumenti osiguranja plaćanja</w:t>
            </w:r>
          </w:p>
        </w:tc>
      </w:tr>
      <w:tr w:rsidR="00813696" w:rsidRPr="00F252D2" w:rsidTr="00A434DF">
        <w:trPr>
          <w:trHeight w:val="102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96" w:rsidRPr="00F252D2" w:rsidRDefault="00813696" w:rsidP="00A434DF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96" w:rsidRPr="00F252D2" w:rsidRDefault="00813696" w:rsidP="00A434DF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Glazbena škola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A.Štrige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Križevci nema danih 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instumenata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osiguranja plaćanja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0,00</w:t>
            </w: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96" w:rsidRPr="00F252D2" w:rsidRDefault="00813696" w:rsidP="00A434DF">
            <w:pPr>
              <w:jc w:val="both"/>
              <w:rPr>
                <w:rFonts w:ascii="Calibri" w:hAnsi="Calibri" w:cs="Arial"/>
                <w:b/>
                <w:sz w:val="23"/>
                <w:szCs w:val="23"/>
              </w:rPr>
            </w:pPr>
            <w:r w:rsidRPr="00F252D2">
              <w:rPr>
                <w:rFonts w:ascii="Calibri" w:hAnsi="Calibri" w:cs="Arial"/>
                <w:b/>
                <w:sz w:val="23"/>
                <w:szCs w:val="23"/>
              </w:rPr>
              <w:t>Ukupno dani instrumenti osiguranja plaćanja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0,00</w:t>
            </w: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813696" w:rsidRPr="00F252D2" w:rsidTr="00A434DF">
        <w:trPr>
          <w:trHeight w:val="397"/>
          <w:jc w:val="center"/>
        </w:trPr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96" w:rsidRPr="00F252D2" w:rsidRDefault="00813696" w:rsidP="00A434DF">
            <w:pPr>
              <w:jc w:val="both"/>
              <w:rPr>
                <w:rFonts w:ascii="Calibri" w:hAnsi="Calibri" w:cs="Arial"/>
                <w:b/>
                <w:sz w:val="23"/>
                <w:szCs w:val="23"/>
              </w:rPr>
            </w:pPr>
            <w:r w:rsidRPr="00F252D2">
              <w:rPr>
                <w:rFonts w:ascii="Calibri" w:hAnsi="Calibri" w:cs="Arial"/>
                <w:b/>
                <w:sz w:val="23"/>
                <w:szCs w:val="23"/>
              </w:rPr>
              <w:t>Ukupno primljeni i dani instrumenti osiguranja plaćanja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96" w:rsidRPr="00F252D2" w:rsidRDefault="00813696" w:rsidP="00A434DF">
            <w:pPr>
              <w:jc w:val="right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70.000,00</w:t>
            </w:r>
          </w:p>
        </w:tc>
      </w:tr>
    </w:tbl>
    <w:p w:rsidR="00813696" w:rsidRDefault="00813696" w:rsidP="00813696">
      <w:r w:rsidRPr="00B826F2">
        <w:rPr>
          <w:rFonts w:ascii="Calibri" w:hAnsi="Calibri" w:cs="Arial"/>
          <w:b/>
          <w:sz w:val="23"/>
          <w:szCs w:val="23"/>
        </w:rPr>
        <w:t>2. POPIS SUDSKIH SPOROVA U TIJEKU</w:t>
      </w:r>
    </w:p>
    <w:p w:rsidR="00813696" w:rsidRDefault="00813696" w:rsidP="00813696"/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720"/>
      </w:tblGrid>
      <w:tr w:rsidR="00813696" w:rsidRPr="00A76CB0" w:rsidTr="00A434DF">
        <w:trPr>
          <w:trHeight w:val="680"/>
          <w:jc w:val="center"/>
        </w:trPr>
        <w:tc>
          <w:tcPr>
            <w:tcW w:w="7136" w:type="dxa"/>
            <w:shd w:val="clear" w:color="auto" w:fill="D9D9D9"/>
            <w:vAlign w:val="center"/>
          </w:tcPr>
          <w:p w:rsidR="00813696" w:rsidRPr="00D57C96" w:rsidRDefault="00813696" w:rsidP="00A434D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 xml:space="preserve">  </w:t>
            </w:r>
            <w:r w:rsidRPr="00D57C96">
              <w:rPr>
                <w:rFonts w:ascii="Calibri" w:hAnsi="Calibri" w:cs="Arial"/>
                <w:b/>
                <w:sz w:val="23"/>
                <w:szCs w:val="23"/>
              </w:rPr>
              <w:t>Opis prirode spora te procijenjeno vrijeme odljeva ili priljeva sredstava</w:t>
            </w:r>
          </w:p>
        </w:tc>
        <w:tc>
          <w:tcPr>
            <w:tcW w:w="2720" w:type="dxa"/>
            <w:shd w:val="clear" w:color="auto" w:fill="D9D9D9"/>
            <w:vAlign w:val="center"/>
          </w:tcPr>
          <w:p w:rsidR="00813696" w:rsidRPr="00D57C96" w:rsidRDefault="00813696" w:rsidP="00A434DF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  <w:r w:rsidRPr="00D57C96">
              <w:rPr>
                <w:rFonts w:ascii="Calibri" w:hAnsi="Calibri" w:cs="Arial"/>
                <w:b/>
                <w:sz w:val="23"/>
                <w:szCs w:val="23"/>
              </w:rPr>
              <w:t>Procjena financijskog učinka koji može proisteći iz sudskog spora kao obveza ili imovina</w:t>
            </w:r>
          </w:p>
        </w:tc>
      </w:tr>
      <w:tr w:rsidR="00813696" w:rsidRPr="00A76CB0" w:rsidTr="00A434DF">
        <w:trPr>
          <w:trHeight w:val="1020"/>
          <w:jc w:val="center"/>
        </w:trPr>
        <w:tc>
          <w:tcPr>
            <w:tcW w:w="7136" w:type="dxa"/>
            <w:vAlign w:val="center"/>
          </w:tcPr>
          <w:p w:rsidR="00813696" w:rsidRDefault="00813696" w:rsidP="00A434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 xml:space="preserve">  Glazbena škola </w:t>
            </w:r>
            <w:proofErr w:type="spellStart"/>
            <w:r>
              <w:rPr>
                <w:rFonts w:ascii="Calibri" w:hAnsi="Calibri" w:cs="Arial"/>
                <w:sz w:val="23"/>
                <w:szCs w:val="23"/>
              </w:rPr>
              <w:t>A.Štrige</w:t>
            </w:r>
            <w:proofErr w:type="spellEnd"/>
            <w:r>
              <w:rPr>
                <w:rFonts w:ascii="Calibri" w:hAnsi="Calibri" w:cs="Arial"/>
                <w:sz w:val="23"/>
                <w:szCs w:val="23"/>
              </w:rPr>
              <w:t xml:space="preserve"> Križevci ima dva s</w:t>
            </w:r>
            <w:r w:rsidRPr="00A76CB0">
              <w:rPr>
                <w:rFonts w:ascii="Calibri" w:hAnsi="Calibri" w:cs="Arial"/>
                <w:sz w:val="23"/>
                <w:szCs w:val="23"/>
              </w:rPr>
              <w:t>udsk</w:t>
            </w:r>
            <w:r>
              <w:rPr>
                <w:rFonts w:ascii="Calibri" w:hAnsi="Calibri" w:cs="Arial"/>
                <w:sz w:val="23"/>
                <w:szCs w:val="23"/>
              </w:rPr>
              <w:t>a</w:t>
            </w:r>
            <w:r w:rsidRPr="00A76CB0">
              <w:rPr>
                <w:rFonts w:ascii="Calibri" w:hAnsi="Calibri" w:cs="Arial"/>
                <w:sz w:val="23"/>
                <w:szCs w:val="23"/>
              </w:rPr>
              <w:t xml:space="preserve"> spor</w:t>
            </w:r>
            <w:r>
              <w:rPr>
                <w:rFonts w:ascii="Calibri" w:hAnsi="Calibri" w:cs="Arial"/>
                <w:sz w:val="23"/>
                <w:szCs w:val="23"/>
              </w:rPr>
              <w:t>a</w:t>
            </w:r>
            <w:r w:rsidRPr="00A76CB0">
              <w:rPr>
                <w:rFonts w:ascii="Calibri" w:hAnsi="Calibri" w:cs="Arial"/>
                <w:sz w:val="23"/>
                <w:szCs w:val="23"/>
              </w:rPr>
              <w:t xml:space="preserve"> u tijeku</w:t>
            </w:r>
            <w:r>
              <w:rPr>
                <w:rFonts w:ascii="Calibri" w:hAnsi="Calibri" w:cs="Arial"/>
                <w:sz w:val="23"/>
                <w:szCs w:val="23"/>
              </w:rPr>
              <w:t xml:space="preserve">. </w:t>
            </w:r>
          </w:p>
          <w:p w:rsidR="00813696" w:rsidRPr="00A76CB0" w:rsidRDefault="00813696" w:rsidP="00A434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20" w:type="dxa"/>
            <w:vAlign w:val="center"/>
          </w:tcPr>
          <w:p w:rsidR="00813696" w:rsidRPr="00A76CB0" w:rsidRDefault="00813696" w:rsidP="00A434DF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1.600,00</w:t>
            </w:r>
          </w:p>
        </w:tc>
      </w:tr>
    </w:tbl>
    <w:p w:rsidR="00813696" w:rsidRPr="00A76CB0" w:rsidRDefault="00813696" w:rsidP="00813696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Križevci, 31.01.2023</w:t>
      </w:r>
      <w:r w:rsidRPr="00A76CB0">
        <w:rPr>
          <w:rFonts w:ascii="Calibri" w:hAnsi="Calibri" w:cs="Arial"/>
          <w:sz w:val="23"/>
          <w:szCs w:val="23"/>
        </w:rPr>
        <w:t xml:space="preserve">.                                                   </w:t>
      </w:r>
    </w:p>
    <w:p w:rsidR="00813696" w:rsidRDefault="00813696" w:rsidP="00813696">
      <w:pPr>
        <w:ind w:left="3540"/>
        <w:rPr>
          <w:rFonts w:ascii="Calibri" w:hAnsi="Calibri" w:cs="Arial"/>
          <w:sz w:val="23"/>
          <w:szCs w:val="23"/>
        </w:rPr>
      </w:pPr>
      <w:r w:rsidRPr="00110B4E">
        <w:rPr>
          <w:rFonts w:ascii="Calibri" w:hAnsi="Calibri" w:cs="Arial"/>
          <w:b/>
          <w:sz w:val="23"/>
          <w:szCs w:val="23"/>
        </w:rPr>
        <w:t xml:space="preserve">                                                </w:t>
      </w:r>
    </w:p>
    <w:p w:rsidR="00813696" w:rsidRPr="00110B4E" w:rsidRDefault="00813696" w:rsidP="00813696">
      <w:pPr>
        <w:rPr>
          <w:b/>
          <w:sz w:val="23"/>
          <w:szCs w:val="23"/>
        </w:rPr>
      </w:pPr>
      <w:r w:rsidRPr="00110B4E">
        <w:rPr>
          <w:b/>
          <w:sz w:val="23"/>
          <w:szCs w:val="23"/>
        </w:rPr>
        <w:t>V</w:t>
      </w:r>
      <w:r>
        <w:rPr>
          <w:b/>
          <w:sz w:val="23"/>
          <w:szCs w:val="23"/>
        </w:rPr>
        <w:t>oditelj računovodstva</w:t>
      </w:r>
      <w:r w:rsidRPr="00110B4E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 xml:space="preserve">                                                               Ravnateljica:</w:t>
      </w:r>
    </w:p>
    <w:p w:rsidR="00C64DED" w:rsidRPr="00813696" w:rsidRDefault="00813696">
      <w:pPr>
        <w:rPr>
          <w:i/>
        </w:rPr>
      </w:pPr>
      <w:r>
        <w:rPr>
          <w:b/>
          <w:sz w:val="23"/>
          <w:szCs w:val="23"/>
        </w:rPr>
        <w:t xml:space="preserve">Marija </w:t>
      </w:r>
      <w:proofErr w:type="spellStart"/>
      <w:r>
        <w:rPr>
          <w:b/>
          <w:sz w:val="23"/>
          <w:szCs w:val="23"/>
        </w:rPr>
        <w:t>Manjkas</w:t>
      </w:r>
      <w:proofErr w:type="spellEnd"/>
      <w:r w:rsidRPr="00110B4E">
        <w:rPr>
          <w:b/>
        </w:rPr>
        <w:t xml:space="preserve">                                                                     </w:t>
      </w:r>
      <w:r>
        <w:rPr>
          <w:b/>
        </w:rPr>
        <w:t xml:space="preserve">    </w:t>
      </w:r>
      <w:r w:rsidRPr="00110B4E">
        <w:rPr>
          <w:b/>
        </w:rPr>
        <w:t xml:space="preserve">Branka </w:t>
      </w:r>
      <w:proofErr w:type="spellStart"/>
      <w:r w:rsidRPr="00110B4E">
        <w:rPr>
          <w:b/>
        </w:rPr>
        <w:t>Špoljar,prof</w:t>
      </w:r>
      <w:proofErr w:type="spellEnd"/>
      <w:r>
        <w:rPr>
          <w:i/>
        </w:rPr>
        <w:t>.</w:t>
      </w:r>
      <w:bookmarkStart w:id="0" w:name="_GoBack"/>
      <w:bookmarkEnd w:id="0"/>
    </w:p>
    <w:sectPr w:rsidR="00C64DED" w:rsidRPr="0081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03E4"/>
    <w:multiLevelType w:val="hybridMultilevel"/>
    <w:tmpl w:val="315E536E"/>
    <w:lvl w:ilvl="0" w:tplc="17160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6"/>
    <w:rsid w:val="00813696"/>
    <w:rsid w:val="00C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4E96"/>
  <w15:chartTrackingRefBased/>
  <w15:docId w15:val="{52069206-E1C4-4C5E-80C8-F7A1017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2023-02-01T08:56:00Z</dcterms:created>
  <dcterms:modified xsi:type="dcterms:W3CDTF">2023-02-01T08:57:00Z</dcterms:modified>
</cp:coreProperties>
</file>